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bCs/>
          <w:color w:val="000000"/>
          <w:sz w:val="20"/>
          <w:szCs w:val="20"/>
          <w:u w:val="single"/>
        </w:rPr>
      </w:pPr>
      <w:r>
        <w:rPr>
          <w:rFonts w:cs="Arial" w:ascii="Verdana" w:hAnsi="Verdana"/>
          <w:b/>
          <w:bCs/>
          <w:color w:val="000000"/>
          <w:sz w:val="20"/>
          <w:szCs w:val="20"/>
          <w:u w:val="single"/>
        </w:rPr>
      </w:r>
    </w:p>
    <w:p>
      <w:pPr>
        <w:pStyle w:val="Normal"/>
        <w:spacing w:lineRule="auto" w:line="240"/>
        <w:jc w:val="center"/>
        <w:rPr>
          <w:sz w:val="20"/>
          <w:szCs w:val="20"/>
        </w:rPr>
      </w:pPr>
      <w:r>
        <w:rPr>
          <w:rFonts w:cs="Arial" w:ascii="Verdana" w:hAnsi="Verdana"/>
          <w:b/>
          <w:bCs/>
          <w:color w:val="000000"/>
          <w:sz w:val="20"/>
          <w:szCs w:val="20"/>
          <w:u w:val="single"/>
        </w:rPr>
        <w:t xml:space="preserve">TERMO DE REFERÊNCIA  </w:t>
      </w:r>
    </w:p>
    <w:p>
      <w:pPr>
        <w:pStyle w:val="Normal"/>
        <w:spacing w:lineRule="auto" w:line="240"/>
        <w:jc w:val="center"/>
        <w:rPr>
          <w:rFonts w:ascii="Verdana" w:hAnsi="Verdana" w:cs="Arial"/>
          <w:b/>
          <w:bCs/>
          <w:color w:val="000000"/>
          <w:sz w:val="20"/>
          <w:szCs w:val="20"/>
          <w:u w:val="single"/>
        </w:rPr>
      </w:pPr>
      <w:r>
        <w:rPr>
          <w:rFonts w:cs="Arial" w:ascii="Verdana" w:hAnsi="Verdana"/>
          <w:b/>
          <w:bCs/>
          <w:color w:val="000000"/>
          <w:sz w:val="20"/>
          <w:szCs w:val="20"/>
          <w:u w:val="single"/>
        </w:rPr>
      </w:r>
    </w:p>
    <w:p>
      <w:pPr>
        <w:pStyle w:val="Normal"/>
        <w:spacing w:lineRule="auto" w:line="240"/>
        <w:jc w:val="both"/>
        <w:rPr>
          <w:sz w:val="20"/>
          <w:szCs w:val="20"/>
        </w:rPr>
      </w:pPr>
      <w:r>
        <w:rPr>
          <w:rFonts w:eastAsia="Times New Roman" w:cs="Times New Roman" w:ascii="Verdana" w:hAnsi="Verdana"/>
          <w:b/>
          <w:bCs/>
          <w:iCs/>
          <w:color w:val="000000"/>
          <w:kern w:val="0"/>
          <w:sz w:val="20"/>
          <w:szCs w:val="20"/>
          <w:u w:val="none"/>
          <w:lang w:val="pt-BR" w:eastAsia="pt-BR" w:bidi="ar-SA"/>
        </w:rPr>
        <w:t>REGISTRO DE PREÇOS – AQUISIÇÃO DE EQUIPAMENTOS PARA ATENDER AS ESCOLAS DA REDE MUNICIPAL DE ENSINO.</w:t>
      </w:r>
    </w:p>
    <w:p>
      <w:pPr>
        <w:pStyle w:val="Normal"/>
        <w:spacing w:lineRule="auto" w:line="240"/>
        <w:jc w:val="both"/>
        <w:rPr>
          <w:rFonts w:ascii="Verdana" w:hAnsi="Verdana" w:eastAsia="Times New Roman" w:cs="Times New Roman"/>
          <w:b/>
          <w:bCs/>
          <w:iCs/>
          <w:color w:val="000000"/>
          <w:kern w:val="0"/>
          <w:sz w:val="20"/>
          <w:szCs w:val="20"/>
          <w:u w:val="none"/>
          <w:lang w:val="pt-BR" w:eastAsia="pt-BR" w:bidi="ar-SA"/>
        </w:rPr>
      </w:pPr>
      <w:r>
        <w:rPr>
          <w:rFonts w:eastAsia="Times New Roman" w:cs="Times New Roman" w:ascii="Verdana" w:hAnsi="Verdana"/>
          <w:b/>
          <w:bCs/>
          <w:iCs/>
          <w:color w:val="000000"/>
          <w:kern w:val="0"/>
          <w:sz w:val="20"/>
          <w:szCs w:val="20"/>
          <w:u w:val="none"/>
          <w:lang w:val="pt-BR" w:eastAsia="pt-BR" w:bidi="ar-SA"/>
        </w:rPr>
      </w:r>
    </w:p>
    <w:p>
      <w:pPr>
        <w:pStyle w:val="Normal"/>
        <w:spacing w:lineRule="auto" w:line="240"/>
        <w:jc w:val="both"/>
        <w:rPr>
          <w:sz w:val="20"/>
          <w:szCs w:val="20"/>
        </w:rPr>
      </w:pPr>
      <w:r>
        <w:rPr>
          <w:rFonts w:cs="Arial" w:ascii="Verdana" w:hAnsi="Verdana"/>
          <w:b/>
          <w:bCs/>
          <w:iCs/>
          <w:color w:val="000000"/>
          <w:sz w:val="20"/>
          <w:szCs w:val="20"/>
        </w:rPr>
        <w:t xml:space="preserve">Processo Administrativo nº </w:t>
      </w:r>
      <w:r>
        <w:rPr>
          <w:rFonts w:eastAsia="Times New Roman" w:cs="Times New Roman" w:ascii="Verdana" w:hAnsi="Verdana"/>
          <w:b/>
          <w:bCs/>
          <w:iCs/>
          <w:color w:val="000000"/>
          <w:sz w:val="20"/>
          <w:szCs w:val="20"/>
        </w:rPr>
        <w:t>008766</w:t>
      </w:r>
      <w:r>
        <w:rPr>
          <w:rFonts w:cs="Arial" w:ascii="Verdana" w:hAnsi="Verdana"/>
          <w:b/>
          <w:bCs/>
          <w:iCs/>
          <w:color w:val="000000"/>
          <w:sz w:val="20"/>
          <w:szCs w:val="20"/>
        </w:rPr>
        <w:t>/2025 de 08 de dezembro de 2025 (</w:t>
      </w:r>
      <w:r>
        <w:rPr>
          <w:rFonts w:eastAsia="Times New Roman" w:cs="Arial" w:ascii="Verdana" w:hAnsi="Verdana"/>
          <w:b/>
          <w:bCs/>
          <w:iCs/>
          <w:color w:val="000000"/>
          <w:kern w:val="0"/>
          <w:sz w:val="20"/>
          <w:szCs w:val="20"/>
          <w:lang w:val="pt-BR" w:eastAsia="pt-BR" w:bidi="ar-SA"/>
        </w:rPr>
        <w:t>Secretaria Municipal de Educação</w:t>
      </w:r>
      <w:r>
        <w:rPr>
          <w:rFonts w:cs="Arial" w:ascii="Verdana" w:hAnsi="Verdana"/>
          <w:b/>
          <w:bCs/>
          <w:iCs/>
          <w:color w:val="000000"/>
          <w:sz w:val="20"/>
          <w:szCs w:val="20"/>
        </w:rPr>
        <w:t>)</w:t>
      </w:r>
    </w:p>
    <w:p>
      <w:pPr>
        <w:pStyle w:val="Normal"/>
        <w:spacing w:lineRule="auto" w:line="240"/>
        <w:jc w:val="both"/>
        <w:rPr>
          <w:rFonts w:ascii="Verdana" w:hAnsi="Verdana" w:cs="Arial"/>
          <w:b/>
          <w:bCs/>
          <w:iCs/>
          <w:color w:val="000000"/>
          <w:sz w:val="20"/>
          <w:szCs w:val="20"/>
        </w:rPr>
      </w:pPr>
      <w:r>
        <w:rPr>
          <w:rFonts w:cs="Arial" w:ascii="Verdana" w:hAnsi="Verdana"/>
          <w:b/>
          <w:bCs/>
          <w:iCs/>
          <w:color w:val="000000"/>
          <w:sz w:val="20"/>
          <w:szCs w:val="20"/>
        </w:rPr>
      </w:r>
    </w:p>
    <w:p>
      <w:pPr>
        <w:pStyle w:val="Normal"/>
        <w:spacing w:lineRule="auto" w:line="240"/>
        <w:ind w:hanging="0" w:left="0" w:right="0"/>
        <w:jc w:val="both"/>
        <w:rPr>
          <w:sz w:val="20"/>
          <w:szCs w:val="20"/>
        </w:rPr>
      </w:pPr>
      <w:r>
        <w:rPr>
          <w:rFonts w:ascii="Verdana" w:hAnsi="Verdana"/>
          <w:b/>
          <w:bCs/>
          <w:sz w:val="20"/>
          <w:szCs w:val="20"/>
        </w:rPr>
        <w:t xml:space="preserve">1. DAS CONDIÇÕES GERAIS DA CONTRATAÇÃO </w:t>
      </w:r>
    </w:p>
    <w:p>
      <w:pPr>
        <w:pStyle w:val="Normal"/>
        <w:tabs>
          <w:tab w:val="clear" w:pos="708"/>
          <w:tab w:val="left" w:pos="567" w:leader="none"/>
        </w:tabs>
        <w:spacing w:lineRule="auto" w:line="240"/>
        <w:ind w:hanging="0" w:right="0"/>
        <w:jc w:val="both"/>
        <w:rPr>
          <w:sz w:val="20"/>
          <w:szCs w:val="20"/>
        </w:rPr>
      </w:pPr>
      <w:r>
        <w:rPr>
          <w:rFonts w:ascii="Verdana" w:hAnsi="Verdana"/>
          <w:b w:val="false"/>
          <w:bCs w:val="false"/>
          <w:sz w:val="20"/>
          <w:szCs w:val="20"/>
        </w:rPr>
        <w:t xml:space="preserve">1.1. Registro de preços </w:t>
      </w:r>
      <w:r>
        <w:rPr>
          <w:rFonts w:eastAsia="Times New Roman" w:cs="Arial" w:ascii="Verdana" w:hAnsi="Verdana"/>
          <w:bCs/>
          <w:iCs/>
          <w:sz w:val="20"/>
          <w:szCs w:val="20"/>
        </w:rPr>
        <w:t xml:space="preserve">para futura e eventual aquisição de equipamentos em atendimento as Escolas da Rede Municipal de Ensino, </w:t>
      </w:r>
      <w:r>
        <w:rPr>
          <w:rFonts w:ascii="Verdana" w:hAnsi="Verdana"/>
          <w:iCs/>
          <w:sz w:val="20"/>
          <w:szCs w:val="20"/>
        </w:rPr>
        <w:t>nos termos da tabela abaixo, conforme condições e exigências estabelecidas neste instrumento e no ETP.</w:t>
      </w:r>
    </w:p>
    <w:p>
      <w:pPr>
        <w:pStyle w:val="Normal"/>
        <w:tabs>
          <w:tab w:val="clear" w:pos="708"/>
          <w:tab w:val="left" w:pos="567" w:leader="none"/>
        </w:tabs>
        <w:spacing w:lineRule="auto" w:line="240"/>
        <w:ind w:hanging="0" w:right="0"/>
        <w:jc w:val="both"/>
        <w:rPr>
          <w:rFonts w:ascii="Verdana" w:hAnsi="Verdana"/>
          <w:iCs/>
          <w:sz w:val="20"/>
          <w:szCs w:val="20"/>
        </w:rPr>
      </w:pPr>
      <w:r>
        <w:rPr>
          <w:rFonts w:ascii="Verdana" w:hAnsi="Verdana"/>
          <w:iCs/>
          <w:sz w:val="20"/>
          <w:szCs w:val="20"/>
        </w:rPr>
      </w:r>
    </w:p>
    <w:tbl>
      <w:tblPr>
        <w:tblW w:w="10083" w:type="dxa"/>
        <w:jc w:val="left"/>
        <w:tblInd w:w="-9" w:type="dxa"/>
        <w:tblLayout w:type="fixed"/>
        <w:tblCellMar>
          <w:top w:w="0" w:type="dxa"/>
          <w:left w:w="108" w:type="dxa"/>
          <w:bottom w:w="0" w:type="dxa"/>
          <w:right w:w="108" w:type="dxa"/>
        </w:tblCellMar>
      </w:tblPr>
      <w:tblGrid>
        <w:gridCol w:w="883"/>
        <w:gridCol w:w="3916"/>
        <w:gridCol w:w="850"/>
        <w:gridCol w:w="1117"/>
        <w:gridCol w:w="1501"/>
        <w:gridCol w:w="1815"/>
      </w:tblGrid>
      <w:tr>
        <w:trPr/>
        <w:tc>
          <w:tcPr>
            <w:tcW w:w="88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eastAsia="Times New Roman" w:cs="Times New Roman" w:ascii="Verdana" w:hAnsi="Verdana"/>
                <w:b/>
                <w:bCs/>
                <w:color w:val="auto"/>
                <w:kern w:val="0"/>
                <w:sz w:val="20"/>
                <w:szCs w:val="20"/>
                <w:lang w:val="pt-BR" w:eastAsia="pt-BR" w:bidi="ar-SA"/>
              </w:rPr>
              <w:t>Item</w:t>
            </w:r>
          </w:p>
        </w:tc>
        <w:tc>
          <w:tcPr>
            <w:tcW w:w="391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Especificação</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Und.</w:t>
            </w:r>
          </w:p>
        </w:tc>
        <w:tc>
          <w:tcPr>
            <w:tcW w:w="111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Quant.</w:t>
            </w:r>
          </w:p>
        </w:tc>
        <w:tc>
          <w:tcPr>
            <w:tcW w:w="150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Valor estimado unitário</w:t>
            </w:r>
          </w:p>
        </w:tc>
        <w:tc>
          <w:tcPr>
            <w:tcW w:w="181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sz w:val="20"/>
                <w:szCs w:val="20"/>
              </w:rPr>
            </w:pPr>
            <w:r>
              <w:rPr>
                <w:rFonts w:ascii="Verdana" w:hAnsi="Verdana"/>
                <w:b/>
                <w:bCs/>
                <w:sz w:val="20"/>
                <w:szCs w:val="20"/>
              </w:rPr>
              <w:t>Valor estimado total</w:t>
            </w:r>
          </w:p>
        </w:tc>
      </w:tr>
      <w:tr>
        <w:trPr/>
        <w:tc>
          <w:tcPr>
            <w:tcW w:w="88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01</w:t>
            </w:r>
          </w:p>
        </w:tc>
        <w:tc>
          <w:tcPr>
            <w:tcW w:w="3916" w:type="dxa"/>
            <w:tcBorders>
              <w:top w:val="single" w:sz="4" w:space="0" w:color="000000"/>
              <w:left w:val="single" w:sz="4" w:space="0" w:color="000000"/>
              <w:bottom w:val="single" w:sz="4" w:space="0" w:color="000000"/>
              <w:right w:val="single" w:sz="4" w:space="0" w:color="000000"/>
            </w:tcBorders>
          </w:tcPr>
          <w:p>
            <w:pPr>
              <w:pStyle w:val="normal1"/>
              <w:keepNext w:val="false"/>
              <w:keepLines w:val="false"/>
              <w:widowControl w:val="false"/>
              <w:shd w:val="clear" w:fill="auto"/>
              <w:spacing w:lineRule="auto" w:line="240" w:before="0" w:after="0"/>
              <w:ind w:hanging="0" w:left="0" w:right="0"/>
              <w:jc w:val="both"/>
              <w:rPr>
                <w:sz w:val="20"/>
                <w:szCs w:val="20"/>
              </w:rPr>
            </w:pPr>
            <w:r>
              <w:rPr>
                <w:rFonts w:ascii="Verdana" w:hAnsi="Verdana"/>
                <w:sz w:val="20"/>
                <w:szCs w:val="20"/>
              </w:rPr>
              <w:t>PROJETOR MULTIMÍDIA (DATA SHOW): Tecnologia de imagem: LCD e LED, 5.000 lumens</w:t>
            </w:r>
          </w:p>
          <w:p>
            <w:pPr>
              <w:pStyle w:val="normal1"/>
              <w:widowControl w:val="false"/>
              <w:shd w:val="clear" w:fill="FFFFFF"/>
              <w:spacing w:lineRule="auto" w:line="240"/>
              <w:jc w:val="both"/>
              <w:rPr>
                <w:sz w:val="20"/>
                <w:szCs w:val="20"/>
              </w:rPr>
            </w:pPr>
            <w:r>
              <w:rPr>
                <w:rFonts w:ascii="Verdana" w:hAnsi="Verdana"/>
                <w:sz w:val="20"/>
                <w:szCs w:val="20"/>
              </w:rPr>
              <w:t>Resolução máxima suportada da projeção: 1920 x 1080 p; Vida útil da lâmpada: 30.000 horas</w:t>
            </w:r>
          </w:p>
          <w:p>
            <w:pPr>
              <w:pStyle w:val="normal1"/>
              <w:widowControl w:val="false"/>
              <w:shd w:val="clear" w:fill="FFFFFF"/>
              <w:spacing w:lineRule="auto" w:line="240"/>
              <w:jc w:val="both"/>
              <w:rPr>
                <w:sz w:val="20"/>
                <w:szCs w:val="20"/>
              </w:rPr>
            </w:pPr>
            <w:r>
              <w:rPr>
                <w:rFonts w:ascii="Verdana" w:hAnsi="Verdana"/>
                <w:sz w:val="20"/>
                <w:szCs w:val="20"/>
              </w:rPr>
              <w:t>Modo do foco: Eletrônico; Distância da projeção em metros: 1,45 m – 6,65 m; Tamanho de projeção em polegadas: 44” – 200”; Mídias suportadas: música / imagem / vídeo / txt; Detalhes da porta: HDMI * 2 / USB / *2 AV / P3; Capacidade máxima de memória suportada (USB / SD): 1 TB;  Conectividade Bluetooth: 5.1; Sistema operacional e versão: Android 9 ou superior; Máxima capacidade de armazenamento (ROM): 8 GB Memória RAM: 1 GB</w:t>
            </w:r>
          </w:p>
          <w:p>
            <w:pPr>
              <w:pStyle w:val="normal1"/>
              <w:widowControl w:val="false"/>
              <w:shd w:val="clear" w:fill="FFFFFF"/>
              <w:spacing w:lineRule="auto" w:line="240"/>
              <w:jc w:val="both"/>
              <w:rPr>
                <w:sz w:val="20"/>
                <w:szCs w:val="20"/>
              </w:rPr>
            </w:pPr>
            <w:r>
              <w:rPr>
                <w:rFonts w:ascii="Verdana" w:hAnsi="Verdana"/>
                <w:sz w:val="20"/>
                <w:szCs w:val="20"/>
              </w:rPr>
              <w:t>Conectividade Wi-Fi: Sim (2.4 G &amp; 5 G)</w:t>
            </w:r>
          </w:p>
          <w:p>
            <w:pPr>
              <w:pStyle w:val="normal1"/>
              <w:keepNext w:val="false"/>
              <w:keepLines w:val="false"/>
              <w:widowControl w:val="false"/>
              <w:shd w:val="clear" w:fill="auto"/>
              <w:spacing w:lineRule="auto" w:line="240" w:before="0" w:after="0"/>
              <w:ind w:hanging="0" w:left="0" w:right="0"/>
              <w:jc w:val="both"/>
              <w:rPr>
                <w:rFonts w:ascii="Verdana" w:hAnsi="Verdana"/>
                <w:sz w:val="20"/>
                <w:szCs w:val="20"/>
              </w:rPr>
            </w:pPr>
            <w:r>
              <w:rPr>
                <w:rFonts w:ascii="Verdana" w:hAnsi="Verdana"/>
                <w:sz w:val="20"/>
                <w:szCs w:val="20"/>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ascii="Verdana" w:hAnsi="Verdana"/>
                <w:sz w:val="20"/>
                <w:szCs w:val="20"/>
                <w:u w:val="single"/>
              </w:rPr>
              <w:t>Un</w:t>
            </w:r>
          </w:p>
        </w:tc>
        <w:tc>
          <w:tcPr>
            <w:tcW w:w="111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jc w:val="center"/>
              <w:rPr>
                <w:sz w:val="20"/>
                <w:szCs w:val="20"/>
              </w:rPr>
            </w:pPr>
            <w:r>
              <w:rPr>
                <w:rFonts w:cs="Arial" w:ascii="Verdana" w:hAnsi="Verdana"/>
                <w:color w:val="000000"/>
                <w:sz w:val="20"/>
                <w:szCs w:val="20"/>
              </w:rPr>
              <w:t>10</w:t>
            </w:r>
          </w:p>
        </w:tc>
        <w:tc>
          <w:tcPr>
            <w:tcW w:w="15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R$ 2.286,83</w:t>
            </w:r>
          </w:p>
        </w:tc>
        <w:tc>
          <w:tcPr>
            <w:tcW w:w="18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R$ 22.868,30</w:t>
            </w:r>
          </w:p>
        </w:tc>
      </w:tr>
      <w:tr>
        <w:trPr/>
        <w:tc>
          <w:tcPr>
            <w:tcW w:w="883"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02</w:t>
            </w:r>
          </w:p>
        </w:tc>
        <w:tc>
          <w:tcPr>
            <w:tcW w:w="3916" w:type="dxa"/>
            <w:tcBorders>
              <w:left w:val="single" w:sz="4" w:space="0" w:color="000000"/>
              <w:bottom w:val="single" w:sz="4" w:space="0" w:color="000000"/>
              <w:right w:val="single" w:sz="4" w:space="0" w:color="000000"/>
            </w:tcBorders>
          </w:tcPr>
          <w:p>
            <w:pPr>
              <w:pStyle w:val="normal1"/>
              <w:keepNext w:val="false"/>
              <w:keepLines w:val="false"/>
              <w:widowControl w:val="false"/>
              <w:shd w:val="clear" w:fill="auto"/>
              <w:spacing w:lineRule="auto" w:line="240" w:before="0" w:after="0"/>
              <w:ind w:hanging="0" w:left="0" w:right="0"/>
              <w:jc w:val="both"/>
              <w:rPr>
                <w:sz w:val="20"/>
                <w:szCs w:val="20"/>
              </w:rPr>
            </w:pPr>
            <w:r>
              <w:rPr>
                <w:rFonts w:ascii="Verdana" w:hAnsi="Verdana"/>
                <w:sz w:val="20"/>
                <w:szCs w:val="20"/>
              </w:rPr>
              <w:t>VENTILADOR DE PAREDE: 50cm, 3 pás (no mínimo), oscilação horizontal, ajuste inclinação vertical, bivolt, função dimmer, potência 200w, estrutura em aço</w:t>
            </w:r>
          </w:p>
        </w:tc>
        <w:tc>
          <w:tcPr>
            <w:tcW w:w="8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auto"/>
                <w:kern w:val="0"/>
                <w:sz w:val="20"/>
                <w:szCs w:val="20"/>
                <w:lang w:val="pt-BR" w:eastAsia="pt-BR" w:bidi="ar-SA"/>
              </w:rPr>
              <w:t>Un</w:t>
            </w:r>
          </w:p>
        </w:tc>
        <w:tc>
          <w:tcPr>
            <w:tcW w:w="1117" w:type="dxa"/>
            <w:tcBorders>
              <w:left w:val="single" w:sz="4" w:space="0" w:color="000000"/>
              <w:bottom w:val="single" w:sz="4" w:space="0" w:color="000000"/>
              <w:right w:val="single" w:sz="4" w:space="0" w:color="000000"/>
            </w:tcBorders>
            <w:vAlign w:val="center"/>
          </w:tcPr>
          <w:p>
            <w:pPr>
              <w:pStyle w:val="Normal"/>
              <w:spacing w:lineRule="auto" w:line="240"/>
              <w:jc w:val="center"/>
              <w:rPr>
                <w:sz w:val="20"/>
                <w:szCs w:val="20"/>
              </w:rPr>
            </w:pPr>
            <w:r>
              <w:rPr>
                <w:rFonts w:cs="Arial" w:ascii="Verdana" w:hAnsi="Verdana"/>
                <w:color w:val="000000"/>
                <w:sz w:val="20"/>
                <w:szCs w:val="20"/>
              </w:rPr>
              <w:t>200</w:t>
            </w:r>
          </w:p>
        </w:tc>
        <w:tc>
          <w:tcPr>
            <w:tcW w:w="150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R$ 260,48</w:t>
            </w:r>
          </w:p>
        </w:tc>
        <w:tc>
          <w:tcPr>
            <w:tcW w:w="1815"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R$ 52.096,00</w:t>
            </w:r>
          </w:p>
        </w:tc>
      </w:tr>
      <w:tr>
        <w:trPr/>
        <w:tc>
          <w:tcPr>
            <w:tcW w:w="883"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03</w:t>
            </w:r>
          </w:p>
        </w:tc>
        <w:tc>
          <w:tcPr>
            <w:tcW w:w="3916" w:type="dxa"/>
            <w:tcBorders>
              <w:left w:val="single" w:sz="4" w:space="0" w:color="000000"/>
              <w:bottom w:val="single" w:sz="4" w:space="0" w:color="000000"/>
              <w:right w:val="single" w:sz="4" w:space="0" w:color="000000"/>
            </w:tcBorders>
          </w:tcPr>
          <w:p>
            <w:pPr>
              <w:pStyle w:val="normal1"/>
              <w:keepNext w:val="false"/>
              <w:keepLines w:val="false"/>
              <w:widowControl w:val="false"/>
              <w:shd w:val="clear" w:fill="auto"/>
              <w:spacing w:lineRule="auto" w:line="240" w:before="0" w:after="0"/>
              <w:ind w:hanging="0" w:left="0" w:right="0"/>
              <w:jc w:val="both"/>
              <w:rPr>
                <w:sz w:val="20"/>
                <w:szCs w:val="20"/>
              </w:rPr>
            </w:pPr>
            <w:r>
              <w:rPr>
                <w:rFonts w:ascii="Verdana" w:hAnsi="Verdana"/>
                <w:sz w:val="20"/>
                <w:szCs w:val="20"/>
              </w:rPr>
              <w:t>CAIXA DE SOM: Tipo portátil, rodas e alça (puxador) para transporte, 350wts potência (mínima), alimentação bateria, bluetooth, usb, rádio FM, entrada auxiliar e 2 P2, equalizador 3 bandas</w:t>
            </w:r>
          </w:p>
        </w:tc>
        <w:tc>
          <w:tcPr>
            <w:tcW w:w="8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auto"/>
                <w:kern w:val="0"/>
                <w:sz w:val="20"/>
                <w:szCs w:val="20"/>
                <w:lang w:val="pt-BR" w:eastAsia="pt-BR" w:bidi="ar-SA"/>
              </w:rPr>
              <w:t>Un</w:t>
            </w:r>
          </w:p>
        </w:tc>
        <w:tc>
          <w:tcPr>
            <w:tcW w:w="1117" w:type="dxa"/>
            <w:tcBorders>
              <w:left w:val="single" w:sz="4" w:space="0" w:color="000000"/>
              <w:bottom w:val="single" w:sz="4" w:space="0" w:color="000000"/>
              <w:right w:val="single" w:sz="4" w:space="0" w:color="000000"/>
            </w:tcBorders>
            <w:vAlign w:val="center"/>
          </w:tcPr>
          <w:p>
            <w:pPr>
              <w:pStyle w:val="Normal"/>
              <w:spacing w:lineRule="auto" w:line="240"/>
              <w:jc w:val="center"/>
              <w:rPr>
                <w:sz w:val="20"/>
                <w:szCs w:val="20"/>
              </w:rPr>
            </w:pPr>
            <w:r>
              <w:rPr>
                <w:rFonts w:cs="Arial" w:ascii="Verdana" w:hAnsi="Verdana"/>
                <w:color w:val="000000"/>
                <w:sz w:val="20"/>
                <w:szCs w:val="20"/>
              </w:rPr>
              <w:t>30</w:t>
            </w:r>
          </w:p>
        </w:tc>
        <w:tc>
          <w:tcPr>
            <w:tcW w:w="150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R$ 800,00</w:t>
            </w:r>
          </w:p>
        </w:tc>
        <w:tc>
          <w:tcPr>
            <w:tcW w:w="1815"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R$ 24.000,00</w:t>
            </w:r>
          </w:p>
        </w:tc>
      </w:tr>
      <w:tr>
        <w:trPr/>
        <w:tc>
          <w:tcPr>
            <w:tcW w:w="883"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04</w:t>
            </w:r>
          </w:p>
        </w:tc>
        <w:tc>
          <w:tcPr>
            <w:tcW w:w="3916" w:type="dxa"/>
            <w:tcBorders>
              <w:left w:val="single" w:sz="4" w:space="0" w:color="000000"/>
              <w:bottom w:val="single" w:sz="4" w:space="0" w:color="000000"/>
              <w:right w:val="single" w:sz="4" w:space="0" w:color="000000"/>
            </w:tcBorders>
          </w:tcPr>
          <w:p>
            <w:pPr>
              <w:pStyle w:val="normal1"/>
              <w:keepNext w:val="false"/>
              <w:keepLines w:val="false"/>
              <w:widowControl w:val="false"/>
              <w:shd w:val="clear" w:fill="auto"/>
              <w:spacing w:lineRule="auto" w:line="240" w:before="0" w:after="0"/>
              <w:ind w:hanging="0" w:left="0" w:right="0"/>
              <w:jc w:val="both"/>
              <w:rPr>
                <w:sz w:val="20"/>
                <w:szCs w:val="20"/>
              </w:rPr>
            </w:pPr>
            <w:r>
              <w:rPr>
                <w:rFonts w:ascii="Verdana" w:hAnsi="Verdana"/>
                <w:sz w:val="20"/>
                <w:szCs w:val="20"/>
              </w:rPr>
              <w:t xml:space="preserve">MICROFONE SEM FIO: </w:t>
            </w:r>
            <w:r>
              <w:rPr>
                <w:rFonts w:ascii="Verdana" w:hAnsi="Verdana"/>
                <w:sz w:val="20"/>
                <w:szCs w:val="20"/>
                <w:highlight w:val="white"/>
              </w:rPr>
              <w:t xml:space="preserve"> sistema de microfone sem fio de frequência fixa de dois canais; Ponto de frequência: 512-562 MHz; Resposta de frequência de 50Hz-20,000Hz; Razão sinal-ruído de 90-dB para um fundo sem ruídos; Alcance: 60m.</w:t>
            </w:r>
          </w:p>
        </w:tc>
        <w:tc>
          <w:tcPr>
            <w:tcW w:w="8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auto"/>
                <w:kern w:val="0"/>
                <w:sz w:val="20"/>
                <w:szCs w:val="20"/>
                <w:lang w:val="pt-BR" w:eastAsia="pt-BR" w:bidi="ar-SA"/>
              </w:rPr>
              <w:t>Un</w:t>
            </w:r>
          </w:p>
        </w:tc>
        <w:tc>
          <w:tcPr>
            <w:tcW w:w="1117" w:type="dxa"/>
            <w:tcBorders>
              <w:left w:val="single" w:sz="4" w:space="0" w:color="000000"/>
              <w:bottom w:val="single" w:sz="4" w:space="0" w:color="000000"/>
              <w:right w:val="single" w:sz="4" w:space="0" w:color="000000"/>
            </w:tcBorders>
            <w:vAlign w:val="center"/>
          </w:tcPr>
          <w:p>
            <w:pPr>
              <w:pStyle w:val="Normal"/>
              <w:spacing w:lineRule="auto" w:line="240"/>
              <w:jc w:val="center"/>
              <w:rPr>
                <w:sz w:val="20"/>
                <w:szCs w:val="20"/>
              </w:rPr>
            </w:pPr>
            <w:r>
              <w:rPr>
                <w:rFonts w:cs="Arial" w:ascii="Verdana" w:hAnsi="Verdana"/>
                <w:color w:val="000000"/>
                <w:sz w:val="20"/>
                <w:szCs w:val="20"/>
              </w:rPr>
              <w:t>10</w:t>
            </w:r>
          </w:p>
        </w:tc>
        <w:tc>
          <w:tcPr>
            <w:tcW w:w="150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R$ 470,69</w:t>
            </w:r>
          </w:p>
        </w:tc>
        <w:tc>
          <w:tcPr>
            <w:tcW w:w="1815"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R$ 4.706,90</w:t>
            </w:r>
          </w:p>
        </w:tc>
      </w:tr>
      <w:tr>
        <w:trPr/>
        <w:tc>
          <w:tcPr>
            <w:tcW w:w="883"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05</w:t>
            </w:r>
          </w:p>
        </w:tc>
        <w:tc>
          <w:tcPr>
            <w:tcW w:w="3916" w:type="dxa"/>
            <w:tcBorders>
              <w:left w:val="single" w:sz="4" w:space="0" w:color="000000"/>
              <w:bottom w:val="single" w:sz="4" w:space="0" w:color="000000"/>
              <w:right w:val="single" w:sz="4" w:space="0" w:color="000000"/>
            </w:tcBorders>
          </w:tcPr>
          <w:p>
            <w:pPr>
              <w:pStyle w:val="normal1"/>
              <w:keepNext w:val="false"/>
              <w:keepLines w:val="false"/>
              <w:widowControl w:val="false"/>
              <w:shd w:val="clear" w:fill="auto"/>
              <w:spacing w:lineRule="auto" w:line="240" w:before="0" w:after="0"/>
              <w:ind w:hanging="0" w:left="0" w:right="0"/>
              <w:jc w:val="both"/>
              <w:rPr>
                <w:sz w:val="20"/>
                <w:szCs w:val="20"/>
              </w:rPr>
            </w:pPr>
            <w:r>
              <w:rPr>
                <w:rFonts w:ascii="Verdana" w:hAnsi="Verdana"/>
                <w:sz w:val="20"/>
                <w:szCs w:val="20"/>
              </w:rPr>
              <w:t>MESA REFEITÓRIO (ADULTO ) : Altura: 75cm, Largura:80cm, comprimento 260 cm; com banco</w:t>
            </w:r>
          </w:p>
        </w:tc>
        <w:tc>
          <w:tcPr>
            <w:tcW w:w="8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auto"/>
                <w:kern w:val="0"/>
                <w:sz w:val="20"/>
                <w:szCs w:val="20"/>
                <w:lang w:val="pt-BR" w:eastAsia="pt-BR" w:bidi="ar-SA"/>
              </w:rPr>
              <w:t>Un</w:t>
            </w:r>
          </w:p>
        </w:tc>
        <w:tc>
          <w:tcPr>
            <w:tcW w:w="1117" w:type="dxa"/>
            <w:tcBorders>
              <w:left w:val="single" w:sz="4" w:space="0" w:color="000000"/>
              <w:bottom w:val="single" w:sz="4" w:space="0" w:color="000000"/>
              <w:right w:val="single" w:sz="4" w:space="0" w:color="000000"/>
            </w:tcBorders>
            <w:vAlign w:val="center"/>
          </w:tcPr>
          <w:p>
            <w:pPr>
              <w:pStyle w:val="Normal"/>
              <w:spacing w:lineRule="auto" w:line="240"/>
              <w:jc w:val="center"/>
              <w:rPr>
                <w:sz w:val="20"/>
                <w:szCs w:val="20"/>
              </w:rPr>
            </w:pPr>
            <w:r>
              <w:rPr>
                <w:rFonts w:ascii="Verdana" w:hAnsi="Verdana"/>
                <w:sz w:val="20"/>
                <w:szCs w:val="20"/>
              </w:rPr>
              <w:t>50</w:t>
            </w:r>
          </w:p>
        </w:tc>
        <w:tc>
          <w:tcPr>
            <w:tcW w:w="150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R$ 2.279,99</w:t>
            </w:r>
          </w:p>
        </w:tc>
        <w:tc>
          <w:tcPr>
            <w:tcW w:w="1815"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R$ 113.999,50</w:t>
            </w:r>
          </w:p>
        </w:tc>
      </w:tr>
      <w:tr>
        <w:trPr/>
        <w:tc>
          <w:tcPr>
            <w:tcW w:w="883" w:type="dxa"/>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val="false"/>
                <w:bCs w:val="false"/>
                <w:i w:val="false"/>
                <w:iCs w:val="false"/>
                <w:sz w:val="20"/>
                <w:szCs w:val="20"/>
              </w:rPr>
              <w:t>06</w:t>
            </w:r>
          </w:p>
        </w:tc>
        <w:tc>
          <w:tcPr>
            <w:tcW w:w="3916" w:type="dxa"/>
            <w:tcBorders>
              <w:left w:val="single" w:sz="4" w:space="0" w:color="000000"/>
              <w:bottom w:val="single" w:sz="4" w:space="0" w:color="000000"/>
              <w:right w:val="single" w:sz="4" w:space="0" w:color="000000"/>
            </w:tcBorders>
          </w:tcPr>
          <w:p>
            <w:pPr>
              <w:pStyle w:val="normal1"/>
              <w:keepNext w:val="false"/>
              <w:keepLines w:val="false"/>
              <w:widowControl w:val="false"/>
              <w:shd w:val="clear" w:fill="auto"/>
              <w:spacing w:lineRule="auto" w:line="240" w:before="0" w:after="0"/>
              <w:ind w:hanging="0" w:left="0" w:right="0"/>
              <w:jc w:val="both"/>
              <w:rPr>
                <w:sz w:val="20"/>
                <w:szCs w:val="20"/>
              </w:rPr>
            </w:pPr>
            <w:r>
              <w:rPr>
                <w:rFonts w:ascii="Verdana" w:hAnsi="Verdana"/>
                <w:sz w:val="20"/>
                <w:szCs w:val="20"/>
              </w:rPr>
              <w:t xml:space="preserve">IMPRESSORA Multifuncional COLORIDA: </w:t>
            </w:r>
            <w:r>
              <w:rPr>
                <w:rFonts w:ascii="Verdana" w:hAnsi="Verdana"/>
                <w:sz w:val="20"/>
                <w:szCs w:val="20"/>
                <w:highlight w:val="white"/>
              </w:rPr>
              <w:t>Tecnologia de impressão: Jato de tinta, funções: copia, imprime, escaneia, usb, wifi, wireless</w:t>
            </w:r>
          </w:p>
        </w:tc>
        <w:tc>
          <w:tcPr>
            <w:tcW w:w="85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auto"/>
                <w:kern w:val="0"/>
                <w:sz w:val="20"/>
                <w:szCs w:val="20"/>
                <w:lang w:val="pt-BR" w:eastAsia="pt-BR" w:bidi="ar-SA"/>
              </w:rPr>
              <w:t>Un</w:t>
            </w:r>
          </w:p>
        </w:tc>
        <w:tc>
          <w:tcPr>
            <w:tcW w:w="1117" w:type="dxa"/>
            <w:tcBorders>
              <w:left w:val="single" w:sz="4" w:space="0" w:color="000000"/>
              <w:bottom w:val="single" w:sz="4" w:space="0" w:color="000000"/>
              <w:right w:val="single" w:sz="4" w:space="0" w:color="000000"/>
            </w:tcBorders>
            <w:vAlign w:val="center"/>
          </w:tcPr>
          <w:p>
            <w:pPr>
              <w:pStyle w:val="Normal"/>
              <w:spacing w:lineRule="auto" w:line="240"/>
              <w:jc w:val="center"/>
              <w:rPr>
                <w:sz w:val="20"/>
                <w:szCs w:val="20"/>
              </w:rPr>
            </w:pPr>
            <w:r>
              <w:rPr>
                <w:rFonts w:ascii="Verdana" w:hAnsi="Verdana"/>
                <w:sz w:val="20"/>
                <w:szCs w:val="20"/>
              </w:rPr>
              <w:t>10</w:t>
            </w:r>
          </w:p>
        </w:tc>
        <w:tc>
          <w:tcPr>
            <w:tcW w:w="1501"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R$ 1.173,24</w:t>
            </w:r>
          </w:p>
        </w:tc>
        <w:tc>
          <w:tcPr>
            <w:tcW w:w="1815"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sz w:val="20"/>
                <w:szCs w:val="20"/>
              </w:rPr>
            </w:pPr>
            <w:r>
              <w:rPr>
                <w:rFonts w:eastAsia="Times New Roman" w:cs="Times New Roman" w:ascii="Verdana" w:hAnsi="Verdana"/>
                <w:color w:val="000000"/>
                <w:kern w:val="0"/>
                <w:sz w:val="20"/>
                <w:szCs w:val="20"/>
                <w:shd w:fill="auto" w:val="clear"/>
                <w:lang w:val="pt-BR" w:eastAsia="pt-BR" w:bidi="ar-SA"/>
              </w:rPr>
              <w:t>R$ 11.732,40</w:t>
            </w:r>
          </w:p>
        </w:tc>
      </w:tr>
      <w:tr>
        <w:trPr>
          <w:trHeight w:val="603" w:hRule="atLeast"/>
        </w:trPr>
        <w:tc>
          <w:tcPr>
            <w:tcW w:w="10082" w:type="dxa"/>
            <w:gridSpan w:val="6"/>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before="0" w:after="0"/>
              <w:jc w:val="both"/>
              <w:rPr>
                <w:sz w:val="20"/>
                <w:szCs w:val="20"/>
              </w:rPr>
            </w:pPr>
            <w:r>
              <w:rPr>
                <w:rFonts w:ascii="Verdana" w:hAnsi="Verdana"/>
                <w:b/>
                <w:bCs/>
                <w:sz w:val="20"/>
                <w:szCs w:val="20"/>
              </w:rPr>
              <w:t xml:space="preserve">VALOR TOTAL: R$ </w:t>
            </w:r>
            <w:r>
              <w:rPr>
                <w:rFonts w:eastAsia="Times New Roman" w:cs="Times New Roman" w:ascii="Verdana" w:hAnsi="Verdana"/>
                <w:b/>
                <w:bCs/>
                <w:color w:val="000000"/>
                <w:kern w:val="0"/>
                <w:sz w:val="20"/>
                <w:szCs w:val="20"/>
                <w:shd w:fill="auto" w:val="clear"/>
                <w:lang w:val="pt-BR" w:eastAsia="pt-BR" w:bidi="ar-SA"/>
              </w:rPr>
              <w:t>229.403,10 (duzentos e vinte e nove mil quatrocentos e três reais e dez centavos)</w:t>
            </w:r>
          </w:p>
        </w:tc>
      </w:tr>
    </w:tbl>
    <w:p>
      <w:pPr>
        <w:pStyle w:val="Normal"/>
        <w:tabs>
          <w:tab w:val="clear" w:pos="708"/>
          <w:tab w:val="left" w:pos="567" w:leader="none"/>
        </w:tabs>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jc w:val="both"/>
        <w:rPr>
          <w:sz w:val="20"/>
          <w:szCs w:val="20"/>
        </w:rPr>
      </w:pPr>
      <w:r>
        <w:rPr>
          <w:rFonts w:cs="Arial" w:ascii="Verdana" w:hAnsi="Verdana"/>
          <w:sz w:val="20"/>
          <w:szCs w:val="20"/>
        </w:rPr>
        <w:t xml:space="preserve">1.2. </w:t>
      </w:r>
      <w:r>
        <w:rPr>
          <w:rFonts w:cs="Arial" w:ascii="Verdana" w:hAnsi="Verdana"/>
          <w:iCs/>
          <w:sz w:val="20"/>
          <w:szCs w:val="20"/>
        </w:rPr>
        <w:t>Os objetos desta aquisição não se enquadram como sendo de bens de luxo, conforme Decreto nº 10.818, de 2021.</w:t>
      </w:r>
    </w:p>
    <w:p>
      <w:pPr>
        <w:pStyle w:val="ListParagraph"/>
        <w:suppressAutoHyphens w:val="false"/>
        <w:spacing w:lineRule="auto" w:line="240"/>
        <w:ind w:hanging="0" w:left="-22" w:right="0"/>
        <w:jc w:val="both"/>
        <w:rPr>
          <w:sz w:val="20"/>
          <w:szCs w:val="20"/>
        </w:rPr>
      </w:pPr>
      <w:r>
        <w:rPr>
          <w:rFonts w:ascii="Verdana" w:hAnsi="Verdana"/>
          <w:b w:val="false"/>
          <w:bCs w:val="false"/>
          <w:iCs/>
          <w:sz w:val="20"/>
          <w:szCs w:val="20"/>
        </w:rPr>
        <w:t>1.3</w:t>
      </w:r>
      <w:r>
        <w:rPr>
          <w:rFonts w:ascii="Verdana" w:hAnsi="Verdana"/>
          <w:iCs/>
          <w:sz w:val="20"/>
          <w:szCs w:val="20"/>
        </w:rPr>
        <w:t xml:space="preserve">. </w:t>
      </w:r>
      <w:r>
        <w:rPr>
          <w:rFonts w:ascii="Verdana" w:hAnsi="Verdana"/>
          <w:sz w:val="20"/>
          <w:szCs w:val="20"/>
        </w:rPr>
        <w:t>O prazo de vigência da aquisição será de 12 (</w:t>
      </w:r>
      <w:r>
        <w:rPr>
          <w:rFonts w:eastAsia="Times New Roman" w:cs="Times New Roman" w:ascii="Verdana" w:hAnsi="Verdana"/>
          <w:color w:val="auto"/>
          <w:kern w:val="0"/>
          <w:sz w:val="20"/>
          <w:szCs w:val="20"/>
          <w:lang w:val="pt-BR" w:eastAsia="pt-BR" w:bidi="ar-SA"/>
        </w:rPr>
        <w:t>doze</w:t>
      </w:r>
      <w:r>
        <w:rPr>
          <w:rFonts w:ascii="Verdana" w:hAnsi="Verdana"/>
          <w:sz w:val="20"/>
          <w:szCs w:val="20"/>
        </w:rPr>
        <w:t xml:space="preserve">) </w:t>
      </w:r>
      <w:r>
        <w:rPr>
          <w:rFonts w:eastAsia="Times New Roman" w:cs="Times New Roman" w:ascii="Verdana" w:hAnsi="Verdana"/>
          <w:sz w:val="20"/>
          <w:szCs w:val="20"/>
        </w:rPr>
        <w:t>meses</w:t>
      </w:r>
      <w:r>
        <w:rPr>
          <w:rFonts w:ascii="Verdana" w:hAnsi="Verdana"/>
          <w:sz w:val="20"/>
          <w:szCs w:val="20"/>
        </w:rPr>
        <w:t>, com entrega em até 45 (quarenta e cinco) dias contados da confirmação de recebimento da autorização de fornecimento emitida pelo Departamento de Compras e Contratos.</w:t>
      </w:r>
    </w:p>
    <w:p>
      <w:pPr>
        <w:pStyle w:val="Normal"/>
        <w:spacing w:lineRule="auto" w:line="240"/>
        <w:jc w:val="both"/>
        <w:rPr>
          <w:sz w:val="20"/>
          <w:szCs w:val="20"/>
        </w:rPr>
      </w:pPr>
      <w:r>
        <w:rPr>
          <w:rFonts w:eastAsia="SimSun" w:cs="Arial" w:ascii="Verdana" w:hAnsi="Verdana"/>
          <w:b w:val="false"/>
          <w:bCs w:val="false"/>
          <w:i w:val="false"/>
          <w:iCs w:val="false"/>
          <w:sz w:val="20"/>
          <w:szCs w:val="20"/>
          <w:u w:val="none"/>
          <w:shd w:fill="auto" w:val="clear"/>
          <w:lang w:val="pt-BR"/>
        </w:rPr>
        <w:t>1.4. O custo estimado total da contratação é de</w:t>
      </w:r>
      <w:r>
        <w:rPr>
          <w:rFonts w:eastAsia="Times New Roman" w:cs="Times New Roman" w:ascii="Verdana" w:hAnsi="Verdana"/>
          <w:b w:val="false"/>
          <w:bCs w:val="false"/>
          <w:i w:val="false"/>
          <w:iCs w:val="false"/>
          <w:color w:val="000000"/>
          <w:sz w:val="20"/>
          <w:szCs w:val="20"/>
          <w:u w:val="none"/>
          <w:shd w:fill="auto" w:val="clear"/>
          <w:lang w:val="pt-BR" w:eastAsia="en-US"/>
        </w:rPr>
        <w:t xml:space="preserve"> R$ </w:t>
      </w:r>
      <w:r>
        <w:rPr>
          <w:rFonts w:eastAsia="Times New Roman" w:cs="Times New Roman" w:ascii="Verdana" w:hAnsi="Verdana"/>
          <w:b w:val="false"/>
          <w:bCs w:val="false"/>
          <w:i w:val="false"/>
          <w:iCs w:val="false"/>
          <w:color w:val="000000"/>
          <w:kern w:val="0"/>
          <w:sz w:val="20"/>
          <w:szCs w:val="20"/>
          <w:u w:val="none"/>
          <w:shd w:fill="auto" w:val="clear"/>
          <w:lang w:val="pt-BR" w:eastAsia="pt-BR" w:bidi="ar-SA"/>
        </w:rPr>
        <w:t>229.403,10 (duzentos e vinte e nove mil quatrocentos e três reais e dez centavos)</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 xml:space="preserve"> </w:t>
      </w:r>
      <w:r>
        <w:rPr>
          <w:rFonts w:eastAsia="SimSun" w:cs="Arial" w:ascii="Verdana" w:hAnsi="Verdana"/>
          <w:b w:val="false"/>
          <w:bCs w:val="false"/>
          <w:i w:val="false"/>
          <w:iCs w:val="false"/>
          <w:sz w:val="20"/>
          <w:szCs w:val="20"/>
          <w:u w:val="none"/>
          <w:shd w:fill="auto" w:val="clear"/>
          <w:lang w:val="pt-BR"/>
        </w:rPr>
        <w:t>conforme custos unitários apostos nos orçamentos e no quadro comparativo de preços simples em anexo.</w:t>
      </w:r>
    </w:p>
    <w:p>
      <w:pPr>
        <w:pStyle w:val="Normal"/>
        <w:tabs>
          <w:tab w:val="clear" w:pos="708"/>
          <w:tab w:val="left" w:pos="567" w:leader="none"/>
        </w:tabs>
        <w:spacing w:lineRule="auto" w:line="240"/>
        <w:ind w:hanging="0" w:left="432" w:right="0"/>
        <w:jc w:val="both"/>
        <w:rPr>
          <w:rFonts w:ascii="Verdana" w:hAnsi="Verdana"/>
          <w:sz w:val="20"/>
          <w:szCs w:val="20"/>
        </w:rPr>
      </w:pPr>
      <w:r>
        <w:rPr>
          <w:rFonts w:ascii="Verdana" w:hAnsi="Verdana"/>
          <w:sz w:val="20"/>
          <w:szCs w:val="20"/>
        </w:rPr>
      </w:r>
    </w:p>
    <w:p>
      <w:pPr>
        <w:pStyle w:val="Normal"/>
        <w:spacing w:lineRule="auto" w:line="240"/>
        <w:ind w:hanging="0" w:left="0" w:right="0"/>
        <w:jc w:val="both"/>
        <w:rPr>
          <w:sz w:val="20"/>
          <w:szCs w:val="20"/>
        </w:rPr>
      </w:pPr>
      <w:r>
        <w:rPr>
          <w:rFonts w:ascii="Verdana" w:hAnsi="Verdana"/>
          <w:b/>
          <w:bCs/>
          <w:sz w:val="20"/>
          <w:szCs w:val="20"/>
        </w:rPr>
        <w:t>2. DESCRIÇÃO DA NECESSIDADE DA CONTRATAÇÃO</w:t>
      </w:r>
    </w:p>
    <w:p>
      <w:pPr>
        <w:pStyle w:val="normal2"/>
        <w:keepNext w:val="false"/>
        <w:keepLines w:val="false"/>
        <w:pageBreakBefore w:val="false"/>
        <w:widowControl w:val="false"/>
        <w:shd w:val="clear" w:fill="auto"/>
        <w:tabs>
          <w:tab w:val="clear" w:pos="708"/>
          <w:tab w:val="left" w:pos="-2410" w:leader="none"/>
          <w:tab w:val="left" w:pos="567" w:leader="none"/>
        </w:tabs>
        <w:spacing w:lineRule="auto" w:line="240" w:before="0" w:after="0"/>
        <w:ind w:hanging="0" w:left="0" w:right="0"/>
        <w:jc w:val="both"/>
        <w:rPr>
          <w:sz w:val="20"/>
          <w:szCs w:val="20"/>
        </w:rPr>
      </w:pPr>
      <w:r>
        <w:rPr>
          <w:rFonts w:eastAsia="Times New Roman" w:cs="Times New Roman" w:ascii="Verdana" w:hAnsi="Verdana"/>
          <w:b w:val="false"/>
          <w:bCs w:val="false"/>
          <w:i w:val="false"/>
          <w:iCs w:val="false"/>
          <w:caps w:val="false"/>
          <w:smallCaps w:val="false"/>
          <w:strike w:val="false"/>
          <w:dstrike w:val="false"/>
          <w:color w:val="000000"/>
          <w:position w:val="0"/>
          <w:sz w:val="20"/>
          <w:sz w:val="20"/>
          <w:szCs w:val="20"/>
          <w:u w:val="none"/>
          <w:shd w:fill="auto" w:val="clear"/>
          <w:vertAlign w:val="baseline"/>
        </w:rPr>
        <w:t>2.1.</w:t>
      </w:r>
      <w:r>
        <w:rPr>
          <w:rFonts w:ascii="Verdana" w:hAnsi="Verdana"/>
          <w:b w:val="false"/>
          <w:bCs w:val="false"/>
          <w:i w:val="false"/>
          <w:iCs w:val="false"/>
          <w:caps w:val="false"/>
          <w:smallCaps w:val="false"/>
          <w:strike w:val="false"/>
          <w:dstrike w:val="false"/>
          <w:color w:val="000000"/>
          <w:position w:val="0"/>
          <w:sz w:val="20"/>
          <w:sz w:val="20"/>
          <w:szCs w:val="20"/>
          <w:u w:val="none"/>
          <w:shd w:fill="auto" w:val="clear"/>
          <w:vertAlign w:val="baseline"/>
        </w:rPr>
        <w:t xml:space="preserve"> </w:t>
      </w:r>
      <w:r>
        <w:rPr>
          <w:rFonts w:ascii="Verdana" w:hAnsi="Verdana"/>
          <w:b w:val="false"/>
          <w:bCs w:val="false"/>
          <w:sz w:val="20"/>
          <w:szCs w:val="20"/>
        </w:rPr>
        <w:t>Contratação de empresa especializada, por meio de licitação e registro de preços, para aquisição de equipamentos.</w:t>
      </w:r>
    </w:p>
    <w:p>
      <w:pPr>
        <w:pStyle w:val="normal2"/>
        <w:spacing w:lineRule="auto" w:line="240"/>
        <w:jc w:val="both"/>
        <w:rPr>
          <w:sz w:val="20"/>
          <w:szCs w:val="20"/>
        </w:rPr>
      </w:pPr>
      <w:r>
        <w:rPr>
          <w:rFonts w:ascii="Verdana" w:hAnsi="Verdana"/>
          <w:b w:val="false"/>
          <w:bCs w:val="false"/>
          <w:sz w:val="20"/>
          <w:szCs w:val="20"/>
        </w:rPr>
        <w:t>2.2. Considerando a necessidade de atendermos as escolas municipais com os equipamentos;</w:t>
      </w:r>
    </w:p>
    <w:p>
      <w:pPr>
        <w:pStyle w:val="ListParagraph"/>
        <w:spacing w:lineRule="auto" w:line="240" w:before="0" w:after="0"/>
        <w:ind w:hanging="0" w:left="0"/>
        <w:contextualSpacing/>
        <w:jc w:val="both"/>
        <w:rPr>
          <w:sz w:val="20"/>
          <w:szCs w:val="20"/>
        </w:rPr>
      </w:pPr>
      <w:r>
        <w:rPr>
          <w:rFonts w:eastAsia="Times New Roman" w:cs="Times New Roman" w:ascii="Verdana" w:hAnsi="Verdana"/>
          <w:b w:val="false"/>
          <w:bCs w:val="false"/>
          <w:color w:val="auto"/>
          <w:kern w:val="0"/>
          <w:sz w:val="20"/>
          <w:szCs w:val="20"/>
          <w:lang w:val="pt-BR" w:eastAsia="pt-BR" w:bidi="ar-SA"/>
        </w:rPr>
        <w:t>2.3. Considerando que é responsabilidade da Secretaria Municipal de Educação dar suporte e equipar as escolas a fim de oferecer subsídios para um bom atendimento aos alunos e funcionários, faz se necessária a contratação.</w:t>
      </w:r>
    </w:p>
    <w:p>
      <w:pPr>
        <w:pStyle w:val="ListParagraph"/>
        <w:spacing w:lineRule="auto" w:line="240" w:before="0" w:after="0"/>
        <w:ind w:hanging="0" w:left="0"/>
        <w:contextualSpacing/>
        <w:jc w:val="both"/>
        <w:rPr>
          <w:rFonts w:ascii="Verdana" w:hAnsi="Verdana" w:eastAsia="Times New Roman" w:cs="Times New Roman"/>
          <w:b w:val="false"/>
          <w:bCs w:val="false"/>
          <w:color w:val="auto"/>
          <w:kern w:val="0"/>
          <w:sz w:val="20"/>
          <w:szCs w:val="20"/>
          <w:lang w:val="pt-BR" w:eastAsia="pt-BR" w:bidi="ar-SA"/>
        </w:rPr>
      </w:pPr>
      <w:r>
        <w:rPr>
          <w:rFonts w:eastAsia="Times New Roman" w:cs="Times New Roman" w:ascii="Verdana" w:hAnsi="Verdana"/>
          <w:b w:val="false"/>
          <w:bCs w:val="false"/>
          <w:color w:val="auto"/>
          <w:kern w:val="0"/>
          <w:sz w:val="20"/>
          <w:szCs w:val="20"/>
          <w:lang w:val="pt-BR" w:eastAsia="pt-BR" w:bidi="ar-SA"/>
        </w:rPr>
      </w:r>
    </w:p>
    <w:p>
      <w:pPr>
        <w:pStyle w:val="Normal"/>
        <w:tabs>
          <w:tab w:val="clear" w:pos="708"/>
          <w:tab w:val="left" w:pos="335" w:leader="none"/>
        </w:tabs>
        <w:spacing w:lineRule="auto" w:line="240"/>
        <w:ind w:hanging="0" w:left="0" w:right="0"/>
        <w:jc w:val="both"/>
        <w:rPr>
          <w:sz w:val="20"/>
          <w:szCs w:val="20"/>
        </w:rPr>
      </w:pPr>
      <w:r>
        <w:rPr>
          <w:rFonts w:ascii="Verdana" w:hAnsi="Verdana"/>
          <w:b/>
          <w:bCs/>
          <w:sz w:val="20"/>
          <w:szCs w:val="20"/>
          <w:shd w:fill="auto" w:val="clear"/>
        </w:rPr>
        <w:t>3. DESCRIÇÃO DA SOLUÇÃO</w:t>
      </w:r>
    </w:p>
    <w:p>
      <w:pPr>
        <w:pStyle w:val="normal2"/>
        <w:spacing w:lineRule="auto" w:line="240"/>
        <w:jc w:val="both"/>
        <w:rPr>
          <w:sz w:val="20"/>
          <w:szCs w:val="20"/>
        </w:rPr>
      </w:pPr>
      <w:r>
        <w:rPr>
          <w:rFonts w:ascii="Verdana" w:hAnsi="Verdana"/>
          <w:b w:val="false"/>
          <w:bCs w:val="false"/>
          <w:sz w:val="20"/>
          <w:szCs w:val="20"/>
        </w:rPr>
        <w:t>3.1 A solução a ser adotada consiste na aquisição de equipamentos para as unidades escolares e Secretaria Municipal de Educação.</w:t>
      </w:r>
    </w:p>
    <w:p>
      <w:pPr>
        <w:pStyle w:val="normal2"/>
        <w:spacing w:lineRule="auto" w:line="240"/>
        <w:jc w:val="both"/>
        <w:rPr>
          <w:sz w:val="20"/>
          <w:szCs w:val="20"/>
        </w:rPr>
      </w:pPr>
      <w:r>
        <w:rPr>
          <w:rFonts w:ascii="Verdana" w:hAnsi="Verdana"/>
          <w:b w:val="false"/>
          <w:bCs w:val="false"/>
          <w:sz w:val="20"/>
          <w:szCs w:val="20"/>
        </w:rPr>
        <w:t>3.2 A aquisição deverá obedecer, no que couber, ao disposto na Lei n.º 14.133/2021 e suas alterações.</w:t>
      </w:r>
    </w:p>
    <w:p>
      <w:pPr>
        <w:pStyle w:val="normal2"/>
        <w:spacing w:lineRule="auto" w:line="240"/>
        <w:jc w:val="both"/>
        <w:rPr>
          <w:sz w:val="20"/>
          <w:szCs w:val="20"/>
        </w:rPr>
      </w:pPr>
      <w:r>
        <w:rPr>
          <w:rFonts w:ascii="Verdana" w:hAnsi="Verdana"/>
          <w:b w:val="false"/>
          <w:bCs w:val="false"/>
          <w:sz w:val="20"/>
          <w:szCs w:val="20"/>
        </w:rPr>
        <w:t>3.3 As especificações dos serviços que estão contidas neste Estudo Técnico Preliminar, conforme solicitação de compras em anexo, estão de acordo com os padrões existentes no mercado.</w:t>
      </w:r>
    </w:p>
    <w:p>
      <w:pPr>
        <w:pStyle w:val="normal2"/>
        <w:spacing w:lineRule="auto" w:line="240"/>
        <w:jc w:val="both"/>
        <w:rPr>
          <w:sz w:val="20"/>
          <w:szCs w:val="20"/>
        </w:rPr>
      </w:pPr>
      <w:r>
        <w:rPr>
          <w:rFonts w:ascii="Verdana" w:hAnsi="Verdana"/>
          <w:b w:val="false"/>
          <w:bCs w:val="false"/>
          <w:sz w:val="20"/>
          <w:szCs w:val="20"/>
        </w:rPr>
        <w:t>3.4. O prazo de entrega será de 45 dias após a emissão de Autorização de Fornecimento.</w:t>
      </w:r>
    </w:p>
    <w:p>
      <w:pPr>
        <w:pStyle w:val="ListParagraph"/>
        <w:tabs>
          <w:tab w:val="clear" w:pos="708"/>
          <w:tab w:val="left" w:pos="3390" w:leader="none"/>
          <w:tab w:val="center" w:pos="5032" w:leader="none"/>
        </w:tabs>
        <w:spacing w:lineRule="auto" w:line="240" w:before="0" w:after="0"/>
        <w:ind w:hanging="0" w:left="0"/>
        <w:contextualSpacing/>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ind w:hanging="0" w:left="0" w:right="0"/>
        <w:jc w:val="both"/>
        <w:rPr>
          <w:sz w:val="20"/>
          <w:szCs w:val="20"/>
        </w:rPr>
      </w:pPr>
      <w:r>
        <w:rPr>
          <w:rFonts w:ascii="Verdana" w:hAnsi="Verdana"/>
          <w:b/>
          <w:bCs/>
          <w:sz w:val="20"/>
          <w:szCs w:val="20"/>
          <w:shd w:fill="auto" w:val="clear"/>
        </w:rPr>
        <w:t>4. REQUISITOS DA CONTRATAÇÃO</w:t>
      </w:r>
    </w:p>
    <w:p>
      <w:pPr>
        <w:pStyle w:val="normal2"/>
        <w:spacing w:lineRule="auto" w:line="240"/>
        <w:jc w:val="both"/>
        <w:rPr>
          <w:sz w:val="20"/>
          <w:szCs w:val="20"/>
        </w:rPr>
      </w:pPr>
      <w:r>
        <w:rPr>
          <w:rFonts w:ascii="Verdana" w:hAnsi="Verdana"/>
          <w:b w:val="false"/>
          <w:bCs w:val="false"/>
          <w:sz w:val="20"/>
          <w:szCs w:val="20"/>
        </w:rPr>
        <w:t xml:space="preserve">4.1. Neste procedimento licitatório será sagrada vencedora o fornecedor apresentar o menor preço e poderá ser utilizado menor preço por item. </w:t>
      </w:r>
    </w:p>
    <w:p>
      <w:pPr>
        <w:pStyle w:val="normal2"/>
        <w:spacing w:lineRule="auto" w:line="240"/>
        <w:jc w:val="both"/>
        <w:rPr>
          <w:sz w:val="20"/>
          <w:szCs w:val="20"/>
        </w:rPr>
      </w:pPr>
      <w:r>
        <w:rPr>
          <w:rFonts w:ascii="Verdana" w:hAnsi="Verdana"/>
          <w:b w:val="false"/>
          <w:bCs w:val="false"/>
          <w:sz w:val="20"/>
          <w:szCs w:val="20"/>
        </w:rPr>
        <w:t>4.2. A contratação deverá obedecer, no que couber, ao disposto na Lei n.º 14.133/2021 e suas alterações e demais legislações correlatas.</w:t>
      </w:r>
    </w:p>
    <w:p>
      <w:pPr>
        <w:pStyle w:val="normal2"/>
        <w:spacing w:lineRule="auto" w:line="240"/>
        <w:jc w:val="both"/>
        <w:rPr>
          <w:sz w:val="20"/>
          <w:szCs w:val="20"/>
        </w:rPr>
      </w:pPr>
      <w:r>
        <w:rPr>
          <w:rFonts w:ascii="Verdana" w:hAnsi="Verdana"/>
          <w:b w:val="false"/>
          <w:bCs w:val="false"/>
          <w:sz w:val="20"/>
          <w:szCs w:val="20"/>
        </w:rPr>
        <w:t>4.3. Os serviços constituem-se de aquisição de equipamentos em atendimento às escolas da rede municipal de ensino e a Secretaria Municipal de Educação, através de registro de preços.</w:t>
      </w:r>
    </w:p>
    <w:p>
      <w:pPr>
        <w:pStyle w:val="normal2"/>
        <w:spacing w:lineRule="auto" w:line="240"/>
        <w:jc w:val="both"/>
        <w:rPr>
          <w:sz w:val="20"/>
          <w:szCs w:val="20"/>
        </w:rPr>
      </w:pPr>
      <w:r>
        <w:rPr>
          <w:rFonts w:ascii="Verdana" w:hAnsi="Verdana"/>
          <w:b w:val="false"/>
          <w:bCs w:val="false"/>
          <w:sz w:val="20"/>
          <w:szCs w:val="20"/>
        </w:rPr>
        <w:t>4.4. A entrega deverá ocorrer sem qualquer ônus adicional, bem como a descarga e todas as demais despesas provenientes da mesma, previamente agendada com a Secretaria Municipal de Educação;</w:t>
      </w:r>
    </w:p>
    <w:p>
      <w:pPr>
        <w:pStyle w:val="normal2"/>
        <w:spacing w:lineRule="auto" w:line="240"/>
        <w:jc w:val="both"/>
        <w:rPr>
          <w:sz w:val="20"/>
          <w:szCs w:val="20"/>
        </w:rPr>
      </w:pPr>
      <w:r>
        <w:rPr>
          <w:rFonts w:ascii="Verdana" w:hAnsi="Verdana"/>
          <w:b w:val="false"/>
          <w:bCs w:val="false"/>
          <w:sz w:val="20"/>
          <w:szCs w:val="20"/>
        </w:rPr>
        <w:t xml:space="preserve">4.5. A Empresa garantirá a qualidade dos equipamentos obrigando-se a repor aquele que apresentar defeito ou for entregue em desacordo com o apresentado na proposta; </w:t>
      </w:r>
    </w:p>
    <w:p>
      <w:pPr>
        <w:pStyle w:val="normal2"/>
        <w:spacing w:lineRule="auto" w:line="240"/>
        <w:jc w:val="both"/>
        <w:rPr>
          <w:sz w:val="20"/>
          <w:szCs w:val="20"/>
        </w:rPr>
      </w:pPr>
      <w:r>
        <w:rPr>
          <w:rFonts w:ascii="Verdana" w:hAnsi="Verdana"/>
          <w:b w:val="false"/>
          <w:bCs w:val="false"/>
          <w:sz w:val="20"/>
          <w:szCs w:val="20"/>
        </w:rPr>
        <w:t>4.6. Os equipamentos que não estiverem de acordo com as especificações contidos na proposta, apresentem vício de qualidade ou impropriedade para o uso, serão recusados e devolvidos parcial ou totalmente, conforme caso, ficando a CONTRATADA, obrigada a substituí-los no prazo de 5 (cinco) dias úteis, contadas do recebimento da notificação escrita, sob pena de incorrer em atraso quanto ao prazo de execução;</w:t>
      </w:r>
    </w:p>
    <w:p>
      <w:pPr>
        <w:pStyle w:val="normal2"/>
        <w:spacing w:lineRule="auto" w:line="240"/>
        <w:jc w:val="both"/>
        <w:rPr>
          <w:sz w:val="20"/>
          <w:szCs w:val="20"/>
        </w:rPr>
      </w:pPr>
      <w:r>
        <w:rPr>
          <w:rFonts w:ascii="Verdana" w:hAnsi="Verdana"/>
          <w:b w:val="false"/>
          <w:bCs w:val="false"/>
          <w:sz w:val="20"/>
          <w:szCs w:val="20"/>
        </w:rPr>
        <w:t>4.7. Havendo erro na Nota Fiscal ou outra circunstância impeditiva, o recebimento definitivo será suspenso, até que a empresa tome as medidas saneadoras necessárias;</w:t>
      </w:r>
    </w:p>
    <w:p>
      <w:pPr>
        <w:pStyle w:val="normal2"/>
        <w:spacing w:lineRule="auto" w:line="240"/>
        <w:jc w:val="both"/>
        <w:rPr>
          <w:sz w:val="20"/>
          <w:szCs w:val="20"/>
        </w:rPr>
      </w:pPr>
      <w:r>
        <w:rPr>
          <w:rFonts w:ascii="Verdana" w:hAnsi="Verdana"/>
          <w:b w:val="false"/>
          <w:bCs w:val="false"/>
          <w:sz w:val="20"/>
          <w:szCs w:val="20"/>
        </w:rPr>
        <w:t>4.8. Nos preços apresentados deverão estar incluídas todas as despesas carga e descarga, com mão de obra, materiais, encargos trabalhistas, previdenciários, fiscais, comerciais, despesas e obrigações financeiras de qualquer natureza e outras despesas,</w:t>
      </w:r>
      <w:r>
        <w:rPr>
          <w:rFonts w:ascii="Verdana" w:hAnsi="Verdana"/>
          <w:sz w:val="20"/>
          <w:szCs w:val="20"/>
        </w:rPr>
        <w:t xml:space="preserve"> diretas e indiretas, inclusive lucro, necessários à perfeita entrega dos equipamentos;</w:t>
      </w:r>
    </w:p>
    <w:p>
      <w:pPr>
        <w:pStyle w:val="ListParagraph"/>
        <w:tabs>
          <w:tab w:val="clear" w:pos="708"/>
          <w:tab w:val="left" w:pos="3390" w:leader="none"/>
          <w:tab w:val="center" w:pos="5032" w:leader="none"/>
        </w:tabs>
        <w:spacing w:lineRule="auto" w:line="240" w:before="0" w:after="0"/>
        <w:ind w:hanging="0" w:left="0"/>
        <w:contextualSpacing/>
        <w:jc w:val="both"/>
        <w:rPr>
          <w:rFonts w:ascii="Verdana" w:hAnsi="Verdana" w:cs="Arial"/>
          <w:sz w:val="20"/>
          <w:szCs w:val="20"/>
          <w:shd w:fill="auto" w:val="clear"/>
        </w:rPr>
      </w:pPr>
      <w:r>
        <w:rPr>
          <w:rFonts w:cs="Arial" w:ascii="Verdana" w:hAnsi="Verdana"/>
          <w:sz w:val="20"/>
          <w:szCs w:val="20"/>
          <w:shd w:fill="auto" w:val="clear"/>
        </w:rPr>
      </w:r>
    </w:p>
    <w:p>
      <w:pPr>
        <w:pStyle w:val="Normal"/>
        <w:spacing w:lineRule="auto" w:line="240"/>
        <w:ind w:hanging="0" w:left="0" w:right="0"/>
        <w:jc w:val="both"/>
        <w:rPr>
          <w:sz w:val="20"/>
          <w:szCs w:val="20"/>
        </w:rPr>
      </w:pPr>
      <w:r>
        <w:rPr>
          <w:rFonts w:ascii="Verdana" w:hAnsi="Verdana"/>
          <w:b/>
          <w:bCs/>
          <w:sz w:val="20"/>
          <w:szCs w:val="20"/>
          <w:shd w:fill="auto" w:val="clear"/>
        </w:rPr>
        <w:t xml:space="preserve">5. MODELO DE EXECUÇÃO CONTRATUAL </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cs="Times New Roman" w:ascii="Verdana" w:hAnsi="Verdana"/>
          <w:b w:val="false"/>
          <w:bCs w:val="false"/>
          <w:iCs/>
          <w:sz w:val="20"/>
          <w:szCs w:val="20"/>
          <w:shd w:fill="auto" w:val="clear"/>
          <w:lang w:val="pt-BR"/>
        </w:rPr>
        <w:t>5</w:t>
      </w:r>
      <w:r>
        <w:rPr>
          <w:rFonts w:cs="Arial" w:ascii="Verdana" w:hAnsi="Verdana"/>
          <w:b w:val="false"/>
          <w:bCs w:val="false"/>
          <w:iCs/>
          <w:sz w:val="20"/>
          <w:szCs w:val="20"/>
        </w:rPr>
        <w:t>.1.</w:t>
      </w:r>
      <w:r>
        <w:rPr>
          <w:rFonts w:cs="Arial" w:ascii="Verdana" w:hAnsi="Verdana"/>
          <w:bCs/>
          <w:iCs/>
          <w:sz w:val="20"/>
          <w:szCs w:val="20"/>
        </w:rPr>
        <w:t xml:space="preserve"> </w:t>
      </w:r>
      <w:r>
        <w:rPr>
          <w:rFonts w:eastAsia="Arial" w:cs="Arial" w:ascii="Verdana" w:hAnsi="Verdana"/>
          <w:bCs/>
          <w:iCs/>
          <w:sz w:val="20"/>
          <w:szCs w:val="20"/>
        </w:rPr>
        <w:t xml:space="preserve">Os materiais deverão ser entregues após emissão da autorização de fornecimento enviado por e-mail a empresa fornecedora, diretamente </w:t>
      </w:r>
      <w:r>
        <w:rPr>
          <w:rFonts w:cs="Arial" w:ascii="Verdana" w:hAnsi="Verdana"/>
          <w:bCs/>
          <w:iCs/>
          <w:sz w:val="20"/>
          <w:szCs w:val="20"/>
        </w:rPr>
        <w:t>no Setor de Alimentação Escolar, da Secretaria Municipal de Educação desta Prefeitura, situado na Rua Manoel Inácio da Silva, Nº 247, São Vicente, São Gabriel da Palha, juntamente com as Notas Fiscais</w:t>
      </w:r>
      <w:r>
        <w:rPr>
          <w:rFonts w:eastAsia="Arial" w:cs="Arial" w:ascii="Verdana" w:hAnsi="Verdana"/>
          <w:bCs/>
          <w:iCs/>
          <w:sz w:val="20"/>
          <w:szCs w:val="20"/>
        </w:rPr>
        <w:t>.</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cs="Arial" w:ascii="Verdana" w:hAnsi="Verdana"/>
          <w:b/>
          <w:bCs/>
          <w:iCs/>
          <w:sz w:val="20"/>
          <w:szCs w:val="20"/>
          <w:lang w:val="pt-BR"/>
        </w:rPr>
        <w:t xml:space="preserve">- </w:t>
      </w:r>
      <w:r>
        <w:rPr>
          <w:rFonts w:cs="Arial" w:ascii="Verdana" w:hAnsi="Verdana"/>
          <w:bCs/>
          <w:iCs/>
          <w:sz w:val="20"/>
          <w:szCs w:val="20"/>
          <w:lang w:val="pt-BR"/>
        </w:rPr>
        <w:t>Os itens deverão ser entregues dentro do horário previsto, segunda a quinta-feira de 7h às 18h e sexta-feira 07h às 13h;</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cs="Arial" w:ascii="Verdana" w:hAnsi="Verdana"/>
          <w:bCs/>
          <w:iCs/>
          <w:sz w:val="20"/>
          <w:szCs w:val="20"/>
          <w:lang w:val="pt-BR"/>
        </w:rPr>
        <w:t>5.1.2. Contato:</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cs="Arial" w:ascii="Verdana" w:hAnsi="Verdana"/>
          <w:bCs/>
          <w:iCs/>
          <w:sz w:val="20"/>
          <w:szCs w:val="20"/>
          <w:lang w:val="pt-BR"/>
        </w:rPr>
        <w:t>Telefone: (27) 3727 – 3993</w:t>
      </w:r>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pPr>
      <w:r>
        <w:rPr>
          <w:rFonts w:cs="Arial" w:ascii="Verdana" w:hAnsi="Verdana"/>
          <w:bCs/>
          <w:iCs/>
          <w:sz w:val="20"/>
          <w:szCs w:val="20"/>
          <w:lang w:val="pt-BR"/>
        </w:rPr>
        <w:t xml:space="preserve">E-mail: </w:t>
      </w:r>
      <w:hyperlink r:id="rId2">
        <w:r>
          <w:rPr>
            <w:rStyle w:val="Hyperlink"/>
            <w:rFonts w:cs="Arial" w:ascii="Verdana" w:hAnsi="Verdana"/>
            <w:bCs/>
            <w:iCs/>
            <w:sz w:val="20"/>
            <w:szCs w:val="20"/>
            <w:lang w:val="pt-BR"/>
          </w:rPr>
          <w:t>f</w:t>
        </w:r>
        <w:r>
          <w:rPr>
            <w:rStyle w:val="Hyperlink"/>
            <w:rFonts w:cs="Arial" w:ascii="Verdana" w:hAnsi="Verdana"/>
            <w:bCs/>
            <w:iCs/>
            <w:color w:val="000000"/>
            <w:sz w:val="20"/>
            <w:szCs w:val="20"/>
            <w:u w:val="none"/>
            <w:lang w:val="pt-BR"/>
          </w:rPr>
          <w:t>inanceirosemecsgp@gmail.com</w:t>
        </w:r>
      </w:hyperlink>
    </w:p>
    <w:p>
      <w:pPr>
        <w:pStyle w:val="ListParagraph"/>
        <w:widowControl/>
        <w:tabs>
          <w:tab w:val="clear" w:pos="708"/>
          <w:tab w:val="left" w:pos="0" w:leader="none"/>
          <w:tab w:val="left" w:pos="450" w:leader="none"/>
        </w:tabs>
        <w:suppressAutoHyphens w:val="true"/>
        <w:bidi w:val="0"/>
        <w:spacing w:lineRule="auto" w:line="240" w:before="0" w:after="0"/>
        <w:ind w:firstLine="57" w:left="-57" w:right="0"/>
        <w:contextualSpacing w:val="false"/>
        <w:jc w:val="both"/>
        <w:rPr>
          <w:sz w:val="20"/>
          <w:szCs w:val="20"/>
        </w:rPr>
      </w:pPr>
      <w:r>
        <w:rPr>
          <w:rFonts w:cs="Arial" w:ascii="Verdana" w:hAnsi="Verdana"/>
          <w:bCs/>
          <w:iCs/>
          <w:sz w:val="20"/>
          <w:szCs w:val="20"/>
          <w:lang w:val="pt-BR"/>
        </w:rPr>
        <w:t>Responsável: Secretaria Municipal de Educação</w:t>
      </w:r>
    </w:p>
    <w:p>
      <w:pPr>
        <w:pStyle w:val="Normal"/>
        <w:spacing w:lineRule="auto" w:line="240"/>
        <w:jc w:val="both"/>
        <w:rPr>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.2.</w:t>
      </w:r>
      <w:r>
        <w:rPr>
          <w:rFonts w:cs="Arial" w:ascii="Verdana" w:hAnsi="Verdana"/>
          <w:sz w:val="20"/>
          <w:szCs w:val="20"/>
        </w:rPr>
        <w:t xml:space="preserve"> A Empresa vencedora garantirá a qualidade dos materiais obrigando-se a repor aquele que apresentar defeito ou for entregue em desacordo com o apresentado na proposta; </w:t>
      </w:r>
    </w:p>
    <w:p>
      <w:pPr>
        <w:pStyle w:val="Normal"/>
        <w:spacing w:lineRule="auto" w:line="240"/>
        <w:jc w:val="both"/>
        <w:rPr>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w:t>
      </w:r>
      <w:r>
        <w:rPr>
          <w:rFonts w:cs="Arial" w:ascii="Verdana" w:hAnsi="Verdana"/>
          <w:b w:val="false"/>
          <w:bCs w:val="false"/>
          <w:sz w:val="20"/>
          <w:szCs w:val="20"/>
          <w:lang w:val="pt-BR"/>
        </w:rPr>
        <w:t>3.</w:t>
      </w:r>
      <w:r>
        <w:rPr>
          <w:rFonts w:cs="Arial" w:ascii="Verdana" w:hAnsi="Verdana"/>
          <w:sz w:val="20"/>
          <w:szCs w:val="20"/>
        </w:rPr>
        <w:t xml:space="preserve"> O recebimento ocorrerá com a verificação integral das características do produto fornecido pela CONTRATADA;</w:t>
      </w:r>
    </w:p>
    <w:p>
      <w:pPr>
        <w:pStyle w:val="Normal"/>
        <w:spacing w:lineRule="auto" w:line="240"/>
        <w:jc w:val="both"/>
        <w:rPr>
          <w:sz w:val="20"/>
          <w:szCs w:val="20"/>
        </w:rPr>
      </w:pPr>
      <w:r>
        <w:rPr>
          <w:rFonts w:cs="Arial" w:ascii="Verdana" w:hAnsi="Verdana"/>
          <w:b w:val="false"/>
          <w:bCs w:val="false"/>
          <w:sz w:val="20"/>
          <w:szCs w:val="20"/>
          <w:lang w:val="pt-BR"/>
        </w:rPr>
        <w:t>5</w:t>
      </w:r>
      <w:r>
        <w:rPr>
          <w:rFonts w:cs="Arial" w:ascii="Verdana" w:hAnsi="Verdana"/>
          <w:b w:val="false"/>
          <w:bCs w:val="false"/>
          <w:sz w:val="20"/>
          <w:szCs w:val="20"/>
        </w:rPr>
        <w:t>.</w:t>
      </w:r>
      <w:r>
        <w:rPr>
          <w:rFonts w:cs="Arial" w:ascii="Verdana" w:hAnsi="Verdana"/>
          <w:b w:val="false"/>
          <w:bCs w:val="false"/>
          <w:sz w:val="20"/>
          <w:szCs w:val="20"/>
          <w:lang w:val="pt-BR"/>
        </w:rPr>
        <w:t>4.</w:t>
      </w:r>
      <w:r>
        <w:rPr>
          <w:rFonts w:cs="Arial" w:ascii="Verdana" w:hAnsi="Verdana"/>
          <w:sz w:val="20"/>
          <w:szCs w:val="20"/>
        </w:rPr>
        <w:t xml:space="preserve"> O recebimento não isenta a CONTRATADA de responsabilidades futuras quanto à qualidade do</w:t>
      </w:r>
      <w:r>
        <w:rPr>
          <w:rFonts w:cs="Arial" w:ascii="Verdana" w:hAnsi="Verdana"/>
          <w:sz w:val="20"/>
          <w:szCs w:val="20"/>
          <w:lang w:val="pt-BR"/>
        </w:rPr>
        <w:t xml:space="preserve"> material</w:t>
      </w:r>
      <w:r>
        <w:rPr>
          <w:rFonts w:cs="Arial" w:ascii="Verdana" w:hAnsi="Verdana"/>
          <w:sz w:val="20"/>
          <w:szCs w:val="20"/>
        </w:rPr>
        <w:t>.</w:t>
      </w:r>
    </w:p>
    <w:p>
      <w:pPr>
        <w:pStyle w:val="Nivel2"/>
        <w:spacing w:lineRule="auto" w:line="240" w:before="0" w:after="0"/>
        <w:ind w:hanging="0" w:left="0" w:right="0"/>
        <w:rPr>
          <w:sz w:val="20"/>
          <w:szCs w:val="20"/>
        </w:rPr>
      </w:pPr>
      <w:r>
        <w:rPr>
          <w:rFonts w:cs="Times New Roman" w:ascii="Verdana" w:hAnsi="Verdana"/>
          <w:b w:val="false"/>
          <w:bCs w:val="false"/>
          <w:iCs/>
          <w:color w:val="auto"/>
          <w:sz w:val="20"/>
          <w:szCs w:val="20"/>
        </w:rPr>
        <w:t>5.5</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0" w:after="0"/>
        <w:ind w:hanging="0" w:left="0" w:right="0"/>
        <w:rPr>
          <w:sz w:val="20"/>
          <w:szCs w:val="20"/>
        </w:rPr>
      </w:pPr>
      <w:r>
        <w:rPr>
          <w:rFonts w:cs="Times New Roman" w:ascii="Verdana" w:hAnsi="Verdana"/>
          <w:b w:val="false"/>
          <w:bCs w:val="false"/>
          <w:color w:val="auto"/>
          <w:sz w:val="20"/>
          <w:szCs w:val="20"/>
        </w:rPr>
        <w:t>5.6.</w:t>
      </w:r>
      <w:r>
        <w:rPr>
          <w:rFonts w:cs="Times New Roman" w:ascii="Verdana" w:hAnsi="Verdana"/>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pPr>
        <w:pStyle w:val="ListParagraph"/>
        <w:spacing w:lineRule="auto" w:line="240"/>
        <w:ind w:hanging="0" w:left="0" w:right="0"/>
        <w:jc w:val="both"/>
        <w:rPr>
          <w:sz w:val="20"/>
          <w:szCs w:val="20"/>
        </w:rPr>
      </w:pPr>
      <w:r>
        <w:rPr>
          <w:rFonts w:ascii="Verdana" w:hAnsi="Verdana"/>
          <w:b w:val="false"/>
          <w:bCs w:val="false"/>
          <w:sz w:val="20"/>
          <w:szCs w:val="20"/>
        </w:rPr>
        <w:t>5.7.</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spacing w:lineRule="auto" w:line="240" w:before="0" w:after="0"/>
        <w:ind w:hanging="0" w:left="0" w:right="0"/>
        <w:rPr>
          <w:sz w:val="20"/>
          <w:szCs w:val="20"/>
        </w:rPr>
      </w:pPr>
      <w:r>
        <w:rPr>
          <w:rFonts w:cs="Times New Roman" w:ascii="Verdana" w:hAnsi="Verdana"/>
          <w:b w:val="false"/>
          <w:bCs w:val="false"/>
          <w:color w:val="auto"/>
          <w:sz w:val="20"/>
          <w:szCs w:val="20"/>
        </w:rPr>
        <w:t>5.8.</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hanging="0" w:left="0" w:right="0"/>
        <w:jc w:val="both"/>
        <w:rPr>
          <w:sz w:val="20"/>
          <w:szCs w:val="20"/>
        </w:rPr>
      </w:pPr>
      <w:r>
        <w:rPr>
          <w:rFonts w:ascii="Verdana" w:hAnsi="Verdana"/>
          <w:b w:val="false"/>
          <w:bCs w:val="false"/>
          <w:sz w:val="20"/>
          <w:szCs w:val="20"/>
        </w:rPr>
        <w:t>5.9.</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spacing w:lineRule="auto" w:line="240" w:before="0" w:after="0"/>
        <w:ind w:hanging="0" w:left="0" w:right="0"/>
        <w:rPr>
          <w:sz w:val="20"/>
          <w:szCs w:val="20"/>
        </w:rPr>
      </w:pPr>
      <w:r>
        <w:rPr>
          <w:rFonts w:cs="Times New Roman" w:ascii="Verdana" w:hAnsi="Verdana"/>
          <w:b w:val="false"/>
          <w:bCs w:val="false"/>
          <w:iCs/>
          <w:color w:val="auto"/>
          <w:sz w:val="20"/>
          <w:szCs w:val="20"/>
        </w:rPr>
        <w:t>5.10. No caso de recusa da entrega do produto pelo fornecedor, a Administração Pública adotará as providências cabíveis, de cordo com a legislação aplicável, visando sanar problemas por ventura ocorridos.</w:t>
      </w:r>
    </w:p>
    <w:p>
      <w:pPr>
        <w:pStyle w:val="Normal"/>
        <w:widowControl/>
        <w:tabs>
          <w:tab w:val="clear" w:pos="708"/>
          <w:tab w:val="left" w:pos="508" w:leader="none"/>
        </w:tabs>
        <w:suppressAutoHyphens w:val="true"/>
        <w:bidi w:val="0"/>
        <w:spacing w:lineRule="auto" w:line="240" w:before="0" w:after="0"/>
        <w:ind w:hanging="0" w:left="0" w:right="0"/>
        <w:jc w:val="both"/>
        <w:rPr>
          <w:sz w:val="20"/>
          <w:szCs w:val="20"/>
        </w:rPr>
      </w:pPr>
      <w:r>
        <w:rPr>
          <w:rFonts w:cs="Times New Roman" w:ascii="Verdana" w:hAnsi="Verdana"/>
          <w:b w:val="false"/>
          <w:bCs w:val="false"/>
          <w:iCs/>
          <w:color w:val="auto"/>
          <w:sz w:val="20"/>
          <w:szCs w:val="20"/>
        </w:rPr>
        <w:t>5.11. Não se verifica contratações correlatas ou interdependentes.</w:t>
      </w:r>
    </w:p>
    <w:p>
      <w:pPr>
        <w:pStyle w:val="Normal"/>
        <w:widowControl/>
        <w:tabs>
          <w:tab w:val="clear" w:pos="708"/>
          <w:tab w:val="left" w:pos="508" w:leader="none"/>
        </w:tabs>
        <w:suppressAutoHyphens w:val="true"/>
        <w:bidi w:val="0"/>
        <w:spacing w:lineRule="auto" w:line="240" w:before="0" w:after="0"/>
        <w:ind w:hanging="0" w:left="0" w:right="0"/>
        <w:jc w:val="both"/>
        <w:rPr>
          <w:rFonts w:ascii="Verdana" w:hAnsi="Verdana" w:cs="Times New Roman"/>
          <w:b w:val="false"/>
          <w:bCs w:val="false"/>
          <w:iCs/>
          <w:color w:val="auto"/>
          <w:sz w:val="20"/>
          <w:szCs w:val="20"/>
        </w:rPr>
      </w:pPr>
      <w:r>
        <w:rPr>
          <w:rFonts w:cs="Times New Roman" w:ascii="Verdana" w:hAnsi="Verdana"/>
          <w:b w:val="false"/>
          <w:bCs w:val="false"/>
          <w:iCs/>
          <w:color w:val="auto"/>
          <w:sz w:val="20"/>
          <w:szCs w:val="20"/>
        </w:rPr>
      </w:r>
    </w:p>
    <w:p>
      <w:pPr>
        <w:pStyle w:val="Normal"/>
        <w:spacing w:lineRule="auto" w:line="240"/>
        <w:ind w:hanging="0" w:left="0" w:right="0"/>
        <w:jc w:val="both"/>
        <w:rPr>
          <w:sz w:val="20"/>
          <w:szCs w:val="20"/>
        </w:rPr>
      </w:pPr>
      <w:r>
        <w:rPr>
          <w:rFonts w:cs="Arial" w:ascii="Verdana" w:hAnsi="Verdana"/>
          <w:b/>
          <w:bCs/>
          <w:i w:val="false"/>
          <w:iCs w:val="false"/>
          <w:color w:val="000000"/>
          <w:sz w:val="20"/>
          <w:szCs w:val="20"/>
          <w:shd w:fill="auto" w:val="clear"/>
        </w:rPr>
        <w:t>6. OBRIGAÇÕES DA CONTRATANTE</w:t>
      </w:r>
    </w:p>
    <w:p>
      <w:pPr>
        <w:pStyle w:val="Normal"/>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6.1. Constituem obrigações da Contratante, além de outras previstas no, Termo de Referência, no Edital e seus anexos:</w:t>
      </w:r>
    </w:p>
    <w:p>
      <w:pPr>
        <w:pStyle w:val="Normal"/>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sz w:val="20"/>
          <w:szCs w:val="20"/>
        </w:rPr>
        <w:t>6.2.  Contratar o serviço no prazo e condições estabelecidas no Edital e seus anexos.</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6.3.</w:t>
      </w:r>
      <w:r>
        <w:rPr>
          <w:rFonts w:eastAsia="Times New Roman" w:cs="Arial" w:ascii="Verdana" w:hAnsi="Verdana"/>
          <w:b w:val="false"/>
          <w:bCs w:val="false"/>
          <w:i w:val="false"/>
          <w:iCs w:val="false"/>
          <w:color w:val="000000"/>
          <w:sz w:val="20"/>
          <w:szCs w:val="20"/>
        </w:rPr>
        <w:t xml:space="preserve">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 xml:space="preserve">6.5. </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6.6.</w:t>
      </w:r>
      <w:r>
        <w:rPr>
          <w:rFonts w:eastAsia="Times New Roman" w:cs="Arial"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tabs>
          <w:tab w:val="clear" w:pos="708"/>
          <w:tab w:val="left" w:pos="508" w:leader="none"/>
        </w:tabs>
        <w:spacing w:lineRule="auto" w:line="240" w:before="57" w:after="57"/>
        <w:ind w:hanging="0" w:left="0" w:right="0"/>
        <w:jc w:val="both"/>
        <w:rPr>
          <w:sz w:val="20"/>
          <w:szCs w:val="20"/>
        </w:rPr>
      </w:pPr>
      <w:r>
        <w:rPr>
          <w:rFonts w:eastAsia="Times New Roman" w:cs="Arial" w:ascii="Verdana" w:hAnsi="Verdana"/>
          <w:b w:val="false"/>
          <w:bCs w:val="false"/>
          <w:i w:val="false"/>
          <w:iCs w:val="false"/>
          <w:color w:val="000000"/>
          <w:kern w:val="0"/>
          <w:sz w:val="20"/>
          <w:szCs w:val="20"/>
          <w:lang w:val="pt-BR" w:eastAsia="pt-BR" w:bidi="ar-SA"/>
        </w:rPr>
        <w:t>6.7.</w:t>
      </w:r>
      <w:r>
        <w:rPr>
          <w:rFonts w:eastAsia="Times New Roman" w:cs="Arial" w:ascii="Verdana" w:hAnsi="Verdana"/>
          <w:b w:val="false"/>
          <w:bCs w:val="false"/>
          <w:i w:val="false"/>
          <w:iCs w:val="false"/>
          <w:color w:val="000000"/>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40"/>
        <w:ind w:hanging="0" w:left="0"/>
        <w:jc w:val="both"/>
        <w:rPr>
          <w:sz w:val="20"/>
          <w:szCs w:val="20"/>
        </w:rPr>
      </w:pPr>
      <w:r>
        <w:rPr>
          <w:rFonts w:cs="Arial" w:ascii="Verdana" w:hAnsi="Verdana"/>
          <w:b w:val="false"/>
          <w:bCs w:val="false"/>
          <w:sz w:val="20"/>
          <w:szCs w:val="20"/>
          <w:lang w:val="pt-BR"/>
        </w:rPr>
        <w:t xml:space="preserve">6.8. </w:t>
      </w:r>
      <w:r>
        <w:rPr>
          <w:rFonts w:cs="Arial" w:ascii="Verdana" w:hAnsi="Verdana"/>
          <w:b w:val="false"/>
          <w:bCs w:val="false"/>
          <w:sz w:val="20"/>
          <w:szCs w:val="20"/>
        </w:rPr>
        <w:t>Disponibilizar o local para execução dos serviços.</w:t>
      </w:r>
    </w:p>
    <w:p>
      <w:pPr>
        <w:pStyle w:val="Normal"/>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6.9. </w:t>
      </w:r>
      <w:r>
        <w:rPr>
          <w:rFonts w:cs="Arial" w:ascii="Verdana" w:hAnsi="Verdana"/>
          <w:b w:val="false"/>
          <w:bCs w:val="false"/>
          <w:sz w:val="20"/>
          <w:szCs w:val="20"/>
        </w:rPr>
        <w:t>P</w:t>
      </w:r>
      <w:r>
        <w:rPr>
          <w:rFonts w:cs="Arial" w:ascii="Verdana" w:hAnsi="Verdana"/>
          <w:sz w:val="20"/>
          <w:szCs w:val="20"/>
        </w:rPr>
        <w:t>restar informações e os esclarecimentos solicitados pela empresa, relacionados com o objeto pactuado.</w:t>
      </w:r>
    </w:p>
    <w:p>
      <w:pPr>
        <w:pStyle w:val="Normal"/>
        <w:spacing w:lineRule="auto" w:line="240"/>
        <w:ind w:hanging="0" w:left="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hanging="0" w:left="0" w:right="0"/>
        <w:jc w:val="both"/>
        <w:rPr>
          <w:sz w:val="20"/>
          <w:szCs w:val="20"/>
        </w:rPr>
      </w:pPr>
      <w:r>
        <w:rPr>
          <w:rFonts w:cs="Arial" w:ascii="Verdana" w:hAnsi="Verdana"/>
          <w:b/>
          <w:bCs/>
          <w:i w:val="false"/>
          <w:iCs w:val="false"/>
          <w:color w:val="000000"/>
          <w:sz w:val="20"/>
          <w:szCs w:val="20"/>
          <w:shd w:fill="auto" w:val="clear"/>
        </w:rPr>
        <w:t>7. OBRIGAÇÕES DA CONTRATADA</w:t>
      </w:r>
    </w:p>
    <w:p>
      <w:pPr>
        <w:pStyle w:val="Normal"/>
        <w:spacing w:lineRule="auto" w:line="240"/>
        <w:ind w:hanging="0" w:left="0" w:right="0"/>
        <w:jc w:val="both"/>
        <w:rPr>
          <w:sz w:val="20"/>
          <w:szCs w:val="20"/>
        </w:rPr>
      </w:pPr>
      <w:r>
        <w:rPr>
          <w:rFonts w:cs="Arial" w:ascii="Verdana" w:hAnsi="Verdana"/>
          <w:b w:val="false"/>
          <w:bCs w:val="false"/>
          <w:i w:val="false"/>
          <w:iCs w:val="false"/>
          <w:color w:val="000000"/>
          <w:sz w:val="20"/>
          <w:szCs w:val="20"/>
          <w:shd w:fill="auto" w:val="clear"/>
        </w:rPr>
        <w:t>7.1.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40"/>
        <w:ind w:hanging="0" w:left="0" w:right="0"/>
        <w:jc w:val="both"/>
        <w:rPr>
          <w:sz w:val="20"/>
          <w:szCs w:val="20"/>
        </w:rPr>
      </w:pPr>
      <w:r>
        <w:rPr>
          <w:rFonts w:cs="Arial" w:ascii="Verdana" w:hAnsi="Verdana"/>
          <w:b w:val="false"/>
          <w:bCs w:val="false"/>
          <w:i w:val="false"/>
          <w:iCs w:val="false"/>
          <w:color w:val="000000"/>
          <w:sz w:val="20"/>
          <w:szCs w:val="20"/>
          <w:shd w:fill="auto" w:val="clear"/>
        </w:rPr>
        <w:t xml:space="preserve">7.2. Efetuar </w:t>
      </w:r>
      <w:r>
        <w:rPr>
          <w:rFonts w:eastAsia="Times New Roman" w:cs="Arial" w:ascii="Verdana" w:hAnsi="Verdana"/>
          <w:b w:val="false"/>
          <w:bCs w:val="false"/>
          <w:i w:val="false"/>
          <w:iCs w:val="false"/>
          <w:color w:val="000000"/>
          <w:kern w:val="0"/>
          <w:sz w:val="20"/>
          <w:szCs w:val="20"/>
          <w:shd w:fill="auto" w:val="clear"/>
          <w:lang w:val="pt-BR" w:eastAsia="pt-BR" w:bidi="ar-SA"/>
        </w:rPr>
        <w:t xml:space="preserve">a entrega, instalação e </w:t>
      </w:r>
      <w:r>
        <w:rPr>
          <w:rFonts w:cs="Arial" w:ascii="Verdana" w:hAnsi="Verdana"/>
          <w:b w:val="false"/>
          <w:bCs w:val="false"/>
          <w:i w:val="false"/>
          <w:iCs w:val="false"/>
          <w:color w:val="000000"/>
          <w:sz w:val="20"/>
          <w:szCs w:val="20"/>
          <w:shd w:fill="auto" w:val="clear"/>
        </w:rPr>
        <w:t>demais serviços, conforme especificações, prazo e local constantes no Termo de Referência e seus anexos, acompanhado da respectiva nota fiscal.</w:t>
      </w:r>
    </w:p>
    <w:p>
      <w:pPr>
        <w:pStyle w:val="Normal"/>
        <w:tabs>
          <w:tab w:val="clear" w:pos="708"/>
          <w:tab w:val="left" w:pos="5220"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7.3.</w:t>
      </w:r>
      <w:r>
        <w:rPr>
          <w:rFonts w:cs="Arial" w:ascii="Verdana" w:hAnsi="Verdana"/>
          <w:b w:val="false"/>
          <w:bCs w:val="false"/>
          <w:sz w:val="20"/>
          <w:szCs w:val="20"/>
          <w:lang w:val="pt-BR"/>
        </w:rPr>
        <w:t xml:space="preserve"> </w:t>
      </w:r>
      <w:r>
        <w:rPr>
          <w:rFonts w:cs="Arial" w:ascii="Verdana" w:hAnsi="Verdana"/>
          <w:b w:val="false"/>
          <w:bCs w:val="false"/>
          <w:sz w:val="20"/>
          <w:szCs w:val="20"/>
        </w:rPr>
        <w:t>Apresentar os documentos de cobrança, inclusive NOTA FISCAL, com a descrição dos serviços realizados.</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7.4.</w:t>
      </w:r>
      <w:r>
        <w:rPr>
          <w:rFonts w:cs="Arial" w:ascii="Verdana" w:hAnsi="Verdana"/>
          <w:b w:val="false"/>
          <w:bCs w:val="false"/>
          <w:sz w:val="20"/>
          <w:szCs w:val="20"/>
          <w:lang w:val="pt-BR"/>
        </w:rPr>
        <w:t xml:space="preserve"> </w:t>
      </w:r>
      <w:r>
        <w:rPr>
          <w:rFonts w:cs="Arial" w:ascii="Verdana" w:hAnsi="Verdana"/>
          <w:b w:val="false"/>
          <w:bCs w:val="false"/>
          <w:sz w:val="20"/>
          <w:szCs w:val="20"/>
        </w:rPr>
        <w:t>Assumir inteira responsabilidade civil, administrativa e penal por quaisquer danos e prejuízos, aos equipamentos ou pessoas, causados pela CONTRATADA, seus empregados, ou prepostos à CONTRATANTE ou a terceiros.</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7.5.</w:t>
      </w:r>
      <w:r>
        <w:rPr>
          <w:rFonts w:cs="Arial" w:ascii="Verdana" w:hAnsi="Verdana"/>
          <w:b w:val="false"/>
          <w:bCs w:val="false"/>
          <w:sz w:val="20"/>
          <w:szCs w:val="20"/>
          <w:lang w:val="pt-BR"/>
        </w:rPr>
        <w:t xml:space="preserve"> </w:t>
      </w:r>
      <w:r>
        <w:rPr>
          <w:rFonts w:cs="Arial" w:ascii="Verdana" w:hAnsi="Verdana"/>
          <w:b w:val="false"/>
          <w:bCs w:val="false"/>
          <w:sz w:val="20"/>
          <w:szCs w:val="20"/>
        </w:rPr>
        <w:t>Obriga-se a CONTRATADA, mediante solicitação da CONTRATANTE, a orçar previamente eventual execução de serviços não cobertos pelo objeto do Contrato.</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7.6. </w:t>
      </w:r>
      <w:r>
        <w:rPr>
          <w:rFonts w:cs="Arial" w:ascii="Verdana" w:hAnsi="Verdana"/>
          <w:b w:val="false"/>
          <w:bCs w:val="false"/>
          <w:sz w:val="20"/>
          <w:szCs w:val="20"/>
        </w:rPr>
        <w:t>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7.7. </w:t>
      </w:r>
      <w:r>
        <w:rPr>
          <w:rFonts w:cs="Arial" w:ascii="Verdana" w:hAnsi="Verdana"/>
          <w:b w:val="false"/>
          <w:bCs w:val="false"/>
          <w:sz w:val="20"/>
          <w:szCs w:val="20"/>
        </w:rPr>
        <w:t>Manter durante a vigência da contratação/aquisição todas as condições de habilitação e qualificação exigidas pela legislação em vigor.</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7.8. </w:t>
      </w:r>
      <w:r>
        <w:rPr>
          <w:rFonts w:cs="Arial" w:ascii="Verdana" w:hAnsi="Verdana"/>
          <w:b w:val="false"/>
          <w:bCs w:val="false"/>
          <w:sz w:val="20"/>
          <w:szCs w:val="20"/>
        </w:rPr>
        <w:t>Providenciar a colocação, em tempo hábil, de todos os materiais e equipamentos necessários ao andamento dos serviços, dentro da programação prevista; o equipamento deve ser de nível tecnológico adequado e em prefeita condição de funcionament</w:t>
      </w:r>
      <w:r>
        <w:rPr>
          <w:rFonts w:cs="Arial" w:ascii="Verdana" w:hAnsi="Verdana"/>
          <w:sz w:val="20"/>
          <w:szCs w:val="20"/>
        </w:rPr>
        <w:t>o.</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7.9</w:t>
      </w:r>
      <w:r>
        <w:rPr>
          <w:rFonts w:eastAsia="Times New Roman" w:cs="Arial" w:ascii="Verdana" w:hAnsi="Verdana"/>
          <w:b/>
          <w:bCs/>
          <w:color w:val="auto"/>
          <w:kern w:val="0"/>
          <w:sz w:val="20"/>
          <w:szCs w:val="20"/>
          <w:lang w:val="pt-BR" w:eastAsia="pt-BR" w:bidi="ar-SA"/>
        </w:rPr>
        <w:t xml:space="preserve">.  </w:t>
      </w:r>
      <w:r>
        <w:rPr>
          <w:rFonts w:cs="Arial" w:ascii="Verdana" w:hAnsi="Verdana"/>
          <w:sz w:val="20"/>
          <w:szCs w:val="20"/>
        </w:rPr>
        <w:t>Cumprir e fazer cumprir os dispositivos legais pertinentes aos elementos de defesa e preservação do meio ambiente relativamente às legislações em nível federal, estadual e municipal.</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7.10. </w:t>
      </w:r>
      <w:r>
        <w:rPr>
          <w:rFonts w:cs="Arial" w:ascii="Verdana" w:hAnsi="Verdana"/>
          <w:sz w:val="20"/>
          <w:szCs w:val="20"/>
        </w:rPr>
        <w:t>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7.11. </w:t>
      </w:r>
      <w:r>
        <w:rPr>
          <w:rFonts w:cs="Arial" w:ascii="Verdana" w:hAnsi="Verdana"/>
          <w:b w:val="false"/>
          <w:bCs w:val="false"/>
          <w:sz w:val="20"/>
          <w:szCs w:val="20"/>
        </w:rPr>
        <w:t>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 xml:space="preserve">7.12. </w:t>
      </w:r>
      <w:r>
        <w:rPr>
          <w:rFonts w:cs="Arial" w:ascii="Verdana" w:hAnsi="Verdana"/>
          <w:b w:val="false"/>
          <w:bCs w:val="false"/>
          <w:sz w:val="20"/>
          <w:szCs w:val="20"/>
          <w:lang w:val="pt-BR"/>
        </w:rPr>
        <w:t xml:space="preserve"> </w:t>
      </w:r>
      <w:r>
        <w:rPr>
          <w:rFonts w:cs="Arial" w:ascii="Verdana" w:hAnsi="Verdana"/>
          <w:b w:val="false"/>
          <w:bCs w:val="false"/>
          <w:sz w:val="20"/>
          <w:szCs w:val="20"/>
        </w:rPr>
        <w:t>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7.13.</w:t>
      </w:r>
      <w:r>
        <w:rPr>
          <w:rFonts w:cs="Arial" w:ascii="Verdana" w:hAnsi="Verdana"/>
          <w:b w:val="false"/>
          <w:bCs w:val="false"/>
          <w:sz w:val="20"/>
          <w:szCs w:val="20"/>
          <w:lang w:val="pt-BR"/>
        </w:rPr>
        <w:t xml:space="preserve"> </w:t>
      </w:r>
      <w:r>
        <w:rPr>
          <w:rFonts w:cs="Arial" w:ascii="Verdana" w:hAnsi="Verdana"/>
          <w:b w:val="false"/>
          <w:bCs w:val="false"/>
          <w:sz w:val="20"/>
          <w:szCs w:val="20"/>
        </w:rPr>
        <w:t xml:space="preserve">Executar o objeto desta </w:t>
      </w:r>
      <w:r>
        <w:rPr>
          <w:rFonts w:eastAsia="Times New Roman" w:cs="Arial" w:ascii="Verdana" w:hAnsi="Verdana"/>
          <w:b w:val="false"/>
          <w:bCs w:val="false"/>
          <w:color w:val="auto"/>
          <w:kern w:val="0"/>
          <w:sz w:val="20"/>
          <w:szCs w:val="20"/>
          <w:lang w:val="pt-BR" w:eastAsia="pt-BR" w:bidi="ar-SA"/>
        </w:rPr>
        <w:t>contratação</w:t>
      </w:r>
      <w:r>
        <w:rPr>
          <w:rFonts w:cs="Arial" w:ascii="Verdana" w:hAnsi="Verdana"/>
          <w:b w:val="false"/>
          <w:bCs w:val="false"/>
          <w:sz w:val="20"/>
          <w:szCs w:val="20"/>
        </w:rPr>
        <w:t xml:space="preserve"> de acordo com a melhor técnica e nos padrões de segurança;</w:t>
      </w:r>
    </w:p>
    <w:p>
      <w:pPr>
        <w:pStyle w:val="Normal"/>
        <w:tabs>
          <w:tab w:val="clear" w:pos="708"/>
          <w:tab w:val="left" w:pos="142" w:leader="none"/>
        </w:tabs>
        <w:spacing w:lineRule="auto" w:line="240"/>
        <w:ind w:hanging="0" w:left="0"/>
        <w:jc w:val="both"/>
        <w:rPr>
          <w:sz w:val="20"/>
          <w:szCs w:val="20"/>
        </w:rPr>
      </w:pPr>
      <w:r>
        <w:rPr>
          <w:rFonts w:eastAsia="Times New Roman" w:cs="Arial" w:ascii="Verdana" w:hAnsi="Verdana"/>
          <w:b w:val="false"/>
          <w:bCs w:val="false"/>
          <w:color w:val="auto"/>
          <w:kern w:val="0"/>
          <w:sz w:val="20"/>
          <w:szCs w:val="20"/>
          <w:lang w:val="pt-BR" w:eastAsia="pt-BR" w:bidi="ar-SA"/>
        </w:rPr>
        <w:t>7.14</w:t>
      </w:r>
      <w:r>
        <w:rPr>
          <w:rFonts w:eastAsia="Times New Roman" w:cs="Arial" w:ascii="Verdana" w:hAnsi="Verdana"/>
          <w:b w:val="false"/>
          <w:bCs w:val="false"/>
          <w:i w:val="false"/>
          <w:iCs w:val="false"/>
          <w:color w:val="000000"/>
          <w:sz w:val="20"/>
          <w:szCs w:val="20"/>
        </w:rPr>
        <w:t xml:space="preserve">.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8"/>
          <w:tab w:val="left" w:pos="0" w:leader="none"/>
        </w:tabs>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ind w:hanging="0" w:left="0" w:right="0"/>
        <w:jc w:val="both"/>
        <w:rPr>
          <w:sz w:val="20"/>
          <w:szCs w:val="20"/>
        </w:rPr>
      </w:pPr>
      <w:r>
        <w:rPr>
          <w:rFonts w:ascii="Verdana" w:hAnsi="Verdana"/>
          <w:b/>
          <w:bCs/>
          <w:sz w:val="20"/>
          <w:szCs w:val="20"/>
        </w:rPr>
        <w:t>8. CRITÉRIOS DE PAGAMENTO</w:t>
      </w:r>
    </w:p>
    <w:p>
      <w:pPr>
        <w:pStyle w:val="Normal"/>
        <w:spacing w:lineRule="auto" w:line="240"/>
        <w:jc w:val="both"/>
        <w:rPr>
          <w:sz w:val="20"/>
          <w:szCs w:val="20"/>
        </w:rPr>
      </w:pPr>
      <w:r>
        <w:rPr>
          <w:rFonts w:eastAsia="Times New Roman" w:cs="Arial" w:ascii="Verdana" w:hAnsi="Verdana"/>
          <w:b w:val="false"/>
          <w:bCs w:val="false"/>
          <w:color w:val="auto"/>
          <w:kern w:val="0"/>
          <w:sz w:val="20"/>
          <w:szCs w:val="20"/>
          <w:lang w:val="pt-BR" w:eastAsia="pt-BR" w:bidi="ar-SA"/>
        </w:rPr>
        <w:t>8.1.</w:t>
      </w:r>
      <w:r>
        <w:rPr>
          <w:rFonts w:eastAsia="Times New Roman" w:cs="Arial" w:ascii="Verdana" w:hAnsi="Verdana"/>
          <w:b w:val="false"/>
          <w:bCs w:val="false"/>
          <w:color w:val="auto"/>
          <w:kern w:val="0"/>
          <w:sz w:val="20"/>
          <w:szCs w:val="20"/>
          <w:lang w:val="pt-BR" w:eastAsia="en-US" w:bidi="ar-SA"/>
        </w:rPr>
        <w:t xml:space="preserve"> Recebida a Nota Fiscal ou documento de cobrança equivalente, correrá o prazo de </w:t>
      </w:r>
      <w:r>
        <w:rPr>
          <w:rFonts w:eastAsia="Times New Roman" w:cs="Times New Roman" w:ascii="Verdana" w:hAnsi="Verdana"/>
          <w:b w:val="false"/>
          <w:bCs w:val="false"/>
          <w:color w:val="auto"/>
          <w:kern w:val="0"/>
          <w:sz w:val="20"/>
          <w:szCs w:val="20"/>
          <w:lang w:val="pt-BR" w:eastAsia="en-US" w:bidi="ar-SA"/>
        </w:rPr>
        <w:t>(30) trinta</w:t>
      </w:r>
      <w:r>
        <w:rPr>
          <w:rFonts w:eastAsia="Times New Roman" w:cs="Arial" w:ascii="Verdana" w:hAnsi="Verdana"/>
          <w:b w:val="false"/>
          <w:bCs w:val="false"/>
          <w:color w:val="auto"/>
          <w:kern w:val="0"/>
          <w:sz w:val="20"/>
          <w:szCs w:val="20"/>
          <w:lang w:val="pt-BR" w:eastAsia="en-US" w:bidi="ar-SA"/>
        </w:rPr>
        <w:t xml:space="preserve"> dias úteis para fins de liquidação, na forma desta seção, prorrogáveis por igual período.</w:t>
      </w:r>
    </w:p>
    <w:p>
      <w:pPr>
        <w:pStyle w:val="Normal"/>
        <w:spacing w:lineRule="auto" w:line="240"/>
        <w:ind w:hanging="0" w:left="-22" w:right="0"/>
        <w:jc w:val="both"/>
        <w:rPr/>
      </w:pPr>
      <w:r>
        <w:rPr>
          <w:rFonts w:ascii="Verdana" w:hAnsi="Verdana"/>
          <w:b w:val="false"/>
          <w:bCs w:val="false"/>
          <w:sz w:val="20"/>
          <w:szCs w:val="20"/>
        </w:rPr>
        <w:t xml:space="preserve">8.2.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3"/>
          <w:sz w:val="20"/>
          <w:u w:val="none"/>
          <w:b w:val="false"/>
          <w:szCs w:val="20"/>
          <w:bCs w:val="false"/>
          <w:rFonts w:ascii="Verdana" w:hAnsi="Verdana"/>
          <w:color w:val="000000"/>
        </w:rPr>
        <w:instrText xml:space="preserve"> HYPERLINK "http://www.planalto.gov.br/ccivil_03/_ato2019-2022/2021/lei/L14133.htm" \l "art75"</w:instrText>
      </w:r>
      <w:r>
        <w:rPr>
          <w:rStyle w:val="ListLabel3"/>
          <w:sz w:val="20"/>
          <w:u w:val="none"/>
          <w:b w:val="false"/>
          <w:szCs w:val="20"/>
          <w:bCs w:val="false"/>
          <w:rFonts w:ascii="Verdana" w:hAnsi="Verdana"/>
          <w:color w:val="000000"/>
        </w:rPr>
        <w:fldChar w:fldCharType="separate"/>
      </w:r>
      <w:r>
        <w:rPr>
          <w:rStyle w:val="ListLabel3"/>
          <w:rFonts w:ascii="Verdana" w:hAnsi="Verdana"/>
          <w:b w:val="false"/>
          <w:bCs w:val="false"/>
          <w:color w:val="000000"/>
          <w:sz w:val="20"/>
          <w:szCs w:val="20"/>
          <w:u w:val="none"/>
        </w:rPr>
        <w:t>inciso II do art. 75 da Lei nº 14.133, de 2021</w:t>
      </w:r>
      <w:r>
        <w:rPr>
          <w:rStyle w:val="ListLabel3"/>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jc w:val="both"/>
        <w:rPr>
          <w:sz w:val="20"/>
          <w:szCs w:val="20"/>
        </w:rPr>
      </w:pPr>
      <w:r>
        <w:rPr>
          <w:rFonts w:eastAsia="Times New Roman" w:cs="Arial" w:ascii="Verdana" w:hAnsi="Verdana"/>
          <w:b w:val="false"/>
          <w:bCs w:val="false"/>
          <w:color w:val="auto"/>
          <w:kern w:val="0"/>
          <w:sz w:val="20"/>
          <w:szCs w:val="20"/>
          <w:lang w:val="pt-BR" w:eastAsia="pt-BR" w:bidi="ar-SA"/>
        </w:rPr>
        <w:t xml:space="preserve">8.3. Para fins de liquidação, o setor competente deverá verificar se a nota fiscal ou instrumento de cobrança equivalente apresentado expressa os elementos necessários e essenciais do documento, tais como: </w:t>
      </w:r>
      <w:r>
        <w:rPr>
          <w:rFonts w:cs="Arial" w:ascii="Verdana" w:hAnsi="Verdana"/>
          <w:sz w:val="20"/>
          <w:szCs w:val="20"/>
        </w:rPr>
        <w:t>O pagamento será efetuado pela Contratante após cada medição de acordo com o Cronograma Físico-Financeiro, mediante Requerimento protocolado pela Contratada no protocolo geral desta Prefeitura Municipal, no valor correspondente aos serviços executados.</w:t>
      </w:r>
    </w:p>
    <w:p>
      <w:pPr>
        <w:pStyle w:val="Normal"/>
        <w:spacing w:lineRule="auto" w:line="240"/>
        <w:jc w:val="both"/>
        <w:rPr>
          <w:sz w:val="20"/>
          <w:szCs w:val="20"/>
        </w:rPr>
      </w:pPr>
      <w:r>
        <w:rPr>
          <w:rFonts w:eastAsia="Times New Roman" w:cs="Arial" w:ascii="Verdana" w:hAnsi="Verdana"/>
          <w:b w:val="false"/>
          <w:bCs w:val="false"/>
          <w:color w:val="auto"/>
          <w:kern w:val="0"/>
          <w:sz w:val="20"/>
          <w:szCs w:val="20"/>
          <w:lang w:val="pt-BR" w:eastAsia="pt-BR" w:bidi="ar-SA"/>
        </w:rPr>
        <w:t>8.4.</w:t>
      </w:r>
      <w:r>
        <w:rPr>
          <w:rFonts w:cs="Arial" w:ascii="Verdana" w:hAnsi="Verdana"/>
          <w:b w:val="false"/>
          <w:bCs w:val="false"/>
          <w:sz w:val="20"/>
          <w:szCs w:val="20"/>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240"/>
        <w:jc w:val="both"/>
        <w:rPr>
          <w:sz w:val="20"/>
          <w:szCs w:val="20"/>
        </w:rPr>
      </w:pPr>
      <w:r>
        <w:rPr>
          <w:rFonts w:eastAsia="Times New Roman" w:cs="Arial" w:ascii="Verdana" w:hAnsi="Verdana"/>
          <w:b w:val="false"/>
          <w:bCs w:val="false"/>
          <w:color w:val="auto"/>
          <w:kern w:val="0"/>
          <w:sz w:val="20"/>
          <w:szCs w:val="20"/>
          <w:lang w:val="pt-BR" w:eastAsia="pt-BR" w:bidi="ar-SA"/>
        </w:rPr>
        <w:t>8.5.</w:t>
      </w:r>
      <w:r>
        <w:rPr>
          <w:rFonts w:cs="Arial" w:ascii="Verdana" w:hAnsi="Verdana"/>
          <w:b w:val="false"/>
          <w:bCs w:val="false"/>
          <w:sz w:val="20"/>
          <w:szCs w:val="20"/>
        </w:rPr>
        <w:t xml:space="preserve"> Os pagamentos serão efetuados mediante termo de aprovação fornecido pela Secr</w:t>
      </w:r>
      <w:r>
        <w:rPr>
          <w:rFonts w:cs="Arial" w:ascii="Verdana" w:hAnsi="Verdana"/>
          <w:sz w:val="20"/>
          <w:szCs w:val="20"/>
        </w:rPr>
        <w:t>etaria Municipal de Obras e Desenvolvimento Urbano juntamente com a Secretaria Municipal de Educação e liberação do recurso financeiro.</w:t>
      </w:r>
    </w:p>
    <w:p>
      <w:pPr>
        <w:pStyle w:val="Normal"/>
        <w:spacing w:lineRule="auto" w:line="240"/>
        <w:ind w:hanging="0" w:right="0"/>
        <w:jc w:val="both"/>
        <w:rPr>
          <w:sz w:val="20"/>
          <w:szCs w:val="20"/>
        </w:rPr>
      </w:pPr>
      <w:r>
        <w:rPr>
          <w:rFonts w:cs="Arial" w:ascii="Verdana" w:hAnsi="Verdana"/>
          <w:b w:val="false"/>
          <w:bCs w:val="false"/>
          <w:sz w:val="20"/>
          <w:szCs w:val="20"/>
        </w:rPr>
        <w:t>8.6.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8"/>
          <w:tab w:val="left" w:pos="563" w:leader="none"/>
        </w:tabs>
        <w:spacing w:lineRule="auto" w:line="240"/>
        <w:ind w:hanging="0" w:left="0" w:right="0"/>
        <w:jc w:val="both"/>
        <w:rPr>
          <w:sz w:val="20"/>
          <w:szCs w:val="20"/>
        </w:rPr>
      </w:pPr>
      <w:r>
        <w:rPr>
          <w:rFonts w:ascii="Verdana" w:hAnsi="Verdana"/>
          <w:sz w:val="20"/>
          <w:szCs w:val="20"/>
        </w:rPr>
        <w:t xml:space="preserve">8.7.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O prazo de validade;</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hanging="0" w:left="432" w:right="0"/>
        <w:jc w:val="both"/>
        <w:rPr>
          <w:sz w:val="20"/>
          <w:szCs w:val="20"/>
        </w:rPr>
      </w:pPr>
      <w:r>
        <w:rPr>
          <w:rFonts w:ascii="Verdana" w:hAnsi="Verdana"/>
          <w:sz w:val="20"/>
          <w:szCs w:val="20"/>
        </w:rPr>
        <w:t>- Eventual destaque do valor de retenções tributárias cabíveis.</w:t>
      </w:r>
    </w:p>
    <w:p>
      <w:pPr>
        <w:pStyle w:val="Normal"/>
        <w:tabs>
          <w:tab w:val="clear" w:pos="708"/>
          <w:tab w:val="left" w:pos="563" w:leader="none"/>
        </w:tabs>
        <w:spacing w:lineRule="auto" w:line="240"/>
        <w:ind w:hanging="0" w:left="0" w:right="0"/>
        <w:jc w:val="both"/>
        <w:rPr/>
      </w:pPr>
      <w:r>
        <w:rPr>
          <w:rFonts w:ascii="Verdana" w:hAnsi="Verdana"/>
          <w:sz w:val="20"/>
          <w:szCs w:val="20"/>
        </w:rPr>
        <w:t>8.8.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szCs w:val="20"/>
          <w:u w:val="none"/>
          <w:lang w:eastAsia="en-US"/>
        </w:rPr>
        <w:t>.</w:t>
      </w:r>
    </w:p>
    <w:p>
      <w:pPr>
        <w:pStyle w:val="Normal"/>
        <w:tabs>
          <w:tab w:val="clear" w:pos="708"/>
          <w:tab w:val="left" w:pos="563" w:leader="none"/>
        </w:tabs>
        <w:spacing w:lineRule="auto" w:line="240"/>
        <w:ind w:hanging="0" w:left="0" w:right="0"/>
        <w:jc w:val="both"/>
        <w:rPr/>
      </w:pPr>
      <w:r>
        <w:rPr>
          <w:rStyle w:val="Hyperlink"/>
          <w:rFonts w:ascii="Verdana" w:hAnsi="Verdana"/>
          <w:color w:val="auto"/>
          <w:sz w:val="20"/>
          <w:szCs w:val="20"/>
          <w:u w:val="none"/>
          <w:lang w:eastAsia="en-US"/>
        </w:rPr>
        <w:t xml:space="preserve">8.9. </w:t>
      </w:r>
      <w:r>
        <w:rPr>
          <w:rFonts w:ascii="Verdana" w:hAnsi="Verdana"/>
          <w:sz w:val="20"/>
          <w:szCs w:val="20"/>
        </w:rPr>
        <w:t>O pagamento será realizado por meio de ordem bancária, para crédito em banco, agência e conta corrente indicados pelo contratado.</w:t>
      </w:r>
    </w:p>
    <w:p>
      <w:pPr>
        <w:pStyle w:val="Normal"/>
        <w:tabs>
          <w:tab w:val="clear" w:pos="708"/>
          <w:tab w:val="left" w:pos="563" w:leader="none"/>
        </w:tabs>
        <w:spacing w:lineRule="auto" w:line="240"/>
        <w:ind w:hanging="0" w:left="0" w:right="0"/>
        <w:jc w:val="both"/>
        <w:rPr>
          <w:sz w:val="20"/>
          <w:szCs w:val="20"/>
        </w:rPr>
      </w:pPr>
      <w:r>
        <w:rPr>
          <w:rFonts w:ascii="Verdana" w:hAnsi="Verdana"/>
          <w:sz w:val="20"/>
          <w:szCs w:val="20"/>
        </w:rPr>
        <w:t>8.10. Será considerada data do pagamento o dia em que constar como emitida a ordem bancária para pagamento.</w:t>
      </w:r>
    </w:p>
    <w:p>
      <w:pPr>
        <w:pStyle w:val="Normal"/>
        <w:tabs>
          <w:tab w:val="clear" w:pos="708"/>
          <w:tab w:val="left" w:pos="563" w:leader="none"/>
        </w:tabs>
        <w:spacing w:lineRule="auto" w:line="240"/>
        <w:ind w:hanging="0" w:left="0" w:right="0"/>
        <w:jc w:val="both"/>
        <w:rPr>
          <w:sz w:val="20"/>
          <w:szCs w:val="20"/>
        </w:rPr>
      </w:pPr>
      <w:r>
        <w:rPr>
          <w:rFonts w:ascii="Verdana" w:hAnsi="Verdana"/>
          <w:sz w:val="20"/>
          <w:szCs w:val="20"/>
        </w:rPr>
        <w:t>8.11. Quando do pagamento, será efetuada a retenção tributária prevista na legislação aplicável.</w:t>
      </w:r>
    </w:p>
    <w:p>
      <w:pPr>
        <w:pStyle w:val="Normal"/>
        <w:tabs>
          <w:tab w:val="clear" w:pos="708"/>
          <w:tab w:val="left" w:pos="563" w:leader="none"/>
        </w:tabs>
        <w:spacing w:lineRule="auto" w:line="240"/>
        <w:ind w:hanging="0" w:left="0" w:right="0"/>
        <w:jc w:val="both"/>
        <w:rPr/>
      </w:pPr>
      <w:r>
        <w:rPr>
          <w:rFonts w:ascii="Verdana" w:hAnsi="Verdana"/>
          <w:sz w:val="20"/>
          <w:szCs w:val="20"/>
          <w:lang w:eastAsia="en-US"/>
        </w:rPr>
        <w:t xml:space="preserve">8.12. O contratado regularmente optante pelo Simples Nacional, nos termos da </w:t>
      </w:r>
      <w:hyperlink r:id="rId3">
        <w:r>
          <w:rPr>
            <w:rStyle w:val="ListLabel4"/>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40"/>
        <w:ind w:hanging="0" w:left="0" w:right="0"/>
        <w:jc w:val="both"/>
        <w:rPr>
          <w:sz w:val="20"/>
          <w:szCs w:val="20"/>
        </w:rPr>
      </w:pPr>
      <w:r>
        <w:rPr>
          <w:rFonts w:ascii="Verdana" w:hAnsi="Verdana"/>
          <w:sz w:val="20"/>
          <w:szCs w:val="20"/>
          <w:lang w:eastAsia="en-US"/>
        </w:rPr>
        <w:t>8.13.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jc w:val="both"/>
        <w:rPr>
          <w:rFonts w:ascii="Verdana" w:hAnsi="Verdana"/>
          <w:b/>
          <w:bCs/>
          <w:sz w:val="20"/>
          <w:szCs w:val="20"/>
        </w:rPr>
      </w:pPr>
      <w:r>
        <w:rPr>
          <w:rFonts w:ascii="Verdana" w:hAnsi="Verdana"/>
          <w:b/>
          <w:bCs/>
          <w:sz w:val="20"/>
          <w:szCs w:val="20"/>
        </w:rPr>
      </w:r>
    </w:p>
    <w:p>
      <w:pPr>
        <w:pStyle w:val="Normal"/>
        <w:spacing w:lineRule="auto" w:line="240"/>
        <w:ind w:hanging="0" w:left="0" w:right="0"/>
        <w:jc w:val="both"/>
        <w:rPr>
          <w:sz w:val="20"/>
          <w:szCs w:val="20"/>
        </w:rPr>
      </w:pPr>
      <w:r>
        <w:rPr>
          <w:rFonts w:ascii="Verdana" w:hAnsi="Verdana"/>
          <w:b/>
          <w:bCs/>
          <w:iCs/>
          <w:sz w:val="20"/>
          <w:szCs w:val="20"/>
          <w:shd w:fill="auto" w:val="clear"/>
        </w:rPr>
        <w:t>9. DAS SANÇÕES</w:t>
      </w:r>
    </w:p>
    <w:p>
      <w:pPr>
        <w:pStyle w:val="Normal"/>
        <w:spacing w:lineRule="auto" w:line="240"/>
        <w:ind w:hanging="0" w:left="0" w:right="0"/>
        <w:jc w:val="both"/>
        <w:rPr>
          <w:sz w:val="20"/>
          <w:szCs w:val="20"/>
        </w:rPr>
      </w:pPr>
      <w:r>
        <w:rPr>
          <w:rFonts w:ascii="Verdana" w:hAnsi="Verdana"/>
          <w:iCs/>
          <w:sz w:val="20"/>
          <w:szCs w:val="20"/>
          <w:shd w:fill="auto" w:val="clear"/>
        </w:rPr>
        <w:t>9.1. Comete infração administrativa o fornecedor/prestador de serviço que cometer quaisquer das infrações previstas no art. 155 da Lei nº 14.133, de 2021, quais sejam:</w:t>
      </w:r>
    </w:p>
    <w:p>
      <w:pPr>
        <w:pStyle w:val="Normal"/>
        <w:spacing w:lineRule="auto" w:line="240"/>
        <w:ind w:hanging="0" w:left="0" w:right="0"/>
        <w:jc w:val="both"/>
        <w:rPr>
          <w:sz w:val="20"/>
          <w:szCs w:val="20"/>
        </w:rPr>
      </w:pPr>
      <w:r>
        <w:rPr>
          <w:rFonts w:ascii="Verdana" w:hAnsi="Verdana"/>
          <w:iCs/>
          <w:sz w:val="20"/>
          <w:szCs w:val="20"/>
          <w:shd w:fill="auto" w:val="clear"/>
        </w:rPr>
        <w:t>9.1.1. Dar causa à inexecução parcial do contrato.</w:t>
      </w:r>
    </w:p>
    <w:p>
      <w:pPr>
        <w:pStyle w:val="Normal"/>
        <w:spacing w:lineRule="auto" w:line="240"/>
        <w:ind w:hanging="0" w:left="0" w:right="0"/>
        <w:jc w:val="both"/>
        <w:rPr>
          <w:sz w:val="20"/>
          <w:szCs w:val="20"/>
        </w:rPr>
      </w:pPr>
      <w:r>
        <w:rPr>
          <w:rFonts w:ascii="Verdana" w:hAnsi="Verdana"/>
          <w:iCs/>
          <w:sz w:val="20"/>
          <w:szCs w:val="20"/>
          <w:shd w:fill="auto" w:val="clear"/>
        </w:rPr>
        <w:t>9.1.2. Dar causa à inexecução parcial que cause grave dano à Administração, ao funcionamento dos serviços públicos ou ao interesse coletivo.</w:t>
      </w:r>
    </w:p>
    <w:p>
      <w:pPr>
        <w:pStyle w:val="Normal"/>
        <w:spacing w:lineRule="auto" w:line="240"/>
        <w:ind w:hanging="0" w:left="0" w:right="0"/>
        <w:jc w:val="both"/>
        <w:rPr>
          <w:sz w:val="20"/>
          <w:szCs w:val="20"/>
        </w:rPr>
      </w:pPr>
      <w:r>
        <w:rPr>
          <w:rFonts w:ascii="Verdana" w:hAnsi="Verdana"/>
          <w:iCs/>
          <w:sz w:val="20"/>
          <w:szCs w:val="20"/>
          <w:shd w:fill="auto" w:val="clear"/>
        </w:rPr>
        <w:t>9.1.3. Dar causa à inexecução total;</w:t>
      </w:r>
    </w:p>
    <w:p>
      <w:pPr>
        <w:pStyle w:val="Normal"/>
        <w:spacing w:lineRule="auto" w:line="240"/>
        <w:ind w:hanging="0" w:left="0" w:right="0"/>
        <w:jc w:val="both"/>
        <w:rPr>
          <w:sz w:val="20"/>
          <w:szCs w:val="20"/>
        </w:rPr>
      </w:pPr>
      <w:r>
        <w:rPr>
          <w:rFonts w:ascii="Verdana" w:hAnsi="Verdana"/>
          <w:iCs/>
          <w:sz w:val="20"/>
          <w:szCs w:val="20"/>
          <w:shd w:fill="auto" w:val="clear"/>
        </w:rPr>
        <w:t>9.1.4. Deixar de entregar a documentação exigida para o certame.</w:t>
      </w:r>
    </w:p>
    <w:p>
      <w:pPr>
        <w:pStyle w:val="Normal"/>
        <w:spacing w:lineRule="auto" w:line="240"/>
        <w:ind w:hanging="0" w:left="0" w:right="0"/>
        <w:jc w:val="both"/>
        <w:rPr>
          <w:sz w:val="20"/>
          <w:szCs w:val="20"/>
        </w:rPr>
      </w:pPr>
      <w:r>
        <w:rPr>
          <w:rFonts w:ascii="Verdana" w:hAnsi="Verdana"/>
          <w:iCs/>
          <w:sz w:val="20"/>
          <w:szCs w:val="20"/>
          <w:shd w:fill="auto" w:val="clear"/>
        </w:rPr>
        <w:t>9.1.5. Não manter a proposta, salvo em decorrência de fato superveniente devidamente justificado.</w:t>
      </w:r>
    </w:p>
    <w:p>
      <w:pPr>
        <w:pStyle w:val="Normal"/>
        <w:spacing w:lineRule="auto" w:line="240"/>
        <w:ind w:hanging="0" w:left="0" w:right="0"/>
        <w:jc w:val="both"/>
        <w:rPr>
          <w:sz w:val="20"/>
          <w:szCs w:val="20"/>
        </w:rPr>
      </w:pPr>
      <w:r>
        <w:rPr>
          <w:rFonts w:ascii="Verdana" w:hAnsi="Verdana"/>
          <w:iCs/>
          <w:sz w:val="20"/>
          <w:szCs w:val="20"/>
          <w:shd w:fill="auto" w:val="clear"/>
        </w:rPr>
        <w:t xml:space="preserve">9.1.6. Não celebrar o contrato ou não entregar a documentação exigida para a contratação, quando convocado dentro do prazo de validade de sua proposta. </w:t>
      </w:r>
    </w:p>
    <w:p>
      <w:pPr>
        <w:pStyle w:val="Normal"/>
        <w:spacing w:lineRule="auto" w:line="240"/>
        <w:ind w:hanging="0" w:left="0" w:right="0"/>
        <w:jc w:val="both"/>
        <w:rPr>
          <w:sz w:val="20"/>
          <w:szCs w:val="20"/>
        </w:rPr>
      </w:pPr>
      <w:r>
        <w:rPr>
          <w:rFonts w:ascii="Verdana" w:hAnsi="Verdana"/>
          <w:iCs/>
          <w:sz w:val="20"/>
          <w:szCs w:val="20"/>
          <w:shd w:fill="auto" w:val="clear"/>
        </w:rPr>
        <w:t>9.1.7. Ensejar o retardamento da execução ou da entrega do objeto sem motivo justificado,</w:t>
      </w:r>
    </w:p>
    <w:p>
      <w:pPr>
        <w:pStyle w:val="Normal"/>
        <w:spacing w:lineRule="auto" w:line="240"/>
        <w:ind w:hanging="0" w:left="0" w:right="0"/>
        <w:jc w:val="both"/>
        <w:rPr>
          <w:sz w:val="20"/>
          <w:szCs w:val="20"/>
        </w:rPr>
      </w:pPr>
      <w:r>
        <w:rPr>
          <w:rFonts w:ascii="Verdana" w:hAnsi="Verdana"/>
          <w:iCs/>
          <w:sz w:val="20"/>
          <w:szCs w:val="20"/>
          <w:shd w:fill="auto" w:val="clear"/>
        </w:rPr>
        <w:t>9.1.8. Apresentar declaração ou documentação falsa exigida para o certame ou prestar declaração falsa durante a dispensa eletrônica ou a execução do objeto.</w:t>
      </w:r>
    </w:p>
    <w:p>
      <w:pPr>
        <w:pStyle w:val="Normal"/>
        <w:spacing w:lineRule="auto" w:line="240"/>
        <w:ind w:hanging="0" w:left="0" w:right="0"/>
        <w:jc w:val="both"/>
        <w:rPr>
          <w:sz w:val="20"/>
          <w:szCs w:val="20"/>
        </w:rPr>
      </w:pPr>
      <w:r>
        <w:rPr>
          <w:rFonts w:ascii="Verdana" w:hAnsi="Verdana"/>
          <w:iCs/>
          <w:sz w:val="20"/>
          <w:szCs w:val="20"/>
          <w:shd w:fill="auto" w:val="clear"/>
        </w:rPr>
        <w:t>9.1.9. Fraudar a dispensa eletrônica ou praticar ato fraudulento na execução do objeto.</w:t>
      </w:r>
    </w:p>
    <w:p>
      <w:pPr>
        <w:pStyle w:val="Normal"/>
        <w:spacing w:lineRule="auto" w:line="240"/>
        <w:ind w:hanging="0" w:left="0" w:right="0"/>
        <w:jc w:val="both"/>
        <w:rPr>
          <w:sz w:val="20"/>
          <w:szCs w:val="20"/>
        </w:rPr>
      </w:pPr>
      <w:r>
        <w:rPr>
          <w:rFonts w:ascii="Verdana" w:hAnsi="Verdana"/>
          <w:iCs/>
          <w:sz w:val="20"/>
          <w:szCs w:val="20"/>
          <w:shd w:fill="auto" w:val="clear"/>
        </w:rPr>
        <w:t>9.1.10. Comportar-se de modo inidôneo ou cometer fraude de qualquer natureza.</w:t>
      </w:r>
    </w:p>
    <w:p>
      <w:pPr>
        <w:pStyle w:val="Normal"/>
        <w:spacing w:lineRule="auto" w:line="240"/>
        <w:ind w:hanging="0" w:left="0" w:right="0"/>
        <w:jc w:val="both"/>
        <w:rPr>
          <w:sz w:val="20"/>
          <w:szCs w:val="20"/>
        </w:rPr>
      </w:pPr>
      <w:r>
        <w:rPr>
          <w:rFonts w:ascii="Verdana" w:hAnsi="Verdana"/>
          <w:iCs/>
          <w:sz w:val="20"/>
          <w:szCs w:val="20"/>
          <w:shd w:fill="auto" w:val="clear"/>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hanging="0" w:left="0" w:right="0"/>
        <w:jc w:val="both"/>
        <w:rPr>
          <w:sz w:val="20"/>
          <w:szCs w:val="20"/>
        </w:rPr>
      </w:pPr>
      <w:r>
        <w:rPr>
          <w:rFonts w:ascii="Verdana" w:hAnsi="Verdana"/>
          <w:iCs/>
          <w:sz w:val="20"/>
          <w:szCs w:val="20"/>
          <w:shd w:fill="auto" w:val="clear"/>
        </w:rPr>
        <w:t>9.1.11. Praticar atos ilícitos com vistas a frustrar os objetivos deste certame.</w:t>
      </w:r>
    </w:p>
    <w:p>
      <w:pPr>
        <w:pStyle w:val="Normal"/>
        <w:spacing w:lineRule="auto" w:line="240"/>
        <w:ind w:hanging="0" w:left="0" w:right="0"/>
        <w:jc w:val="both"/>
        <w:rPr>
          <w:sz w:val="20"/>
          <w:szCs w:val="20"/>
        </w:rPr>
      </w:pPr>
      <w:r>
        <w:rPr>
          <w:rFonts w:ascii="Verdana" w:hAnsi="Verdana"/>
          <w:iCs/>
          <w:sz w:val="20"/>
          <w:szCs w:val="20"/>
          <w:shd w:fill="auto" w:val="clear"/>
        </w:rPr>
        <w:t>9.1.12. Praticar ato lesivo previsto no art. 5º da Lei nº 12.846, de 1º de agosto de 2013.</w:t>
      </w:r>
    </w:p>
    <w:p>
      <w:pPr>
        <w:pStyle w:val="Normal"/>
        <w:spacing w:lineRule="auto" w:line="240"/>
        <w:ind w:hanging="0" w:left="0" w:right="0"/>
        <w:jc w:val="both"/>
        <w:rPr>
          <w:sz w:val="20"/>
          <w:szCs w:val="20"/>
        </w:rPr>
      </w:pPr>
      <w:r>
        <w:rPr>
          <w:rFonts w:ascii="Verdana" w:hAnsi="Verdana"/>
          <w:iCs/>
          <w:sz w:val="20"/>
          <w:szCs w:val="20"/>
          <w:shd w:fill="auto" w:val="clear"/>
        </w:rPr>
        <w:t>9.2. O fornecedor que cometer qualquer das infrações discriminadas nos subitens anteriores ficará sujeito, sem prejuízo da responsabilidade civil e criminal, às seguintes sanções:</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a) Advertência pela falta do subitem 9.1.1 deste Termo de Referência, quando não se justificar a imposição de penalidade mais grave.</w:t>
      </w:r>
    </w:p>
    <w:p>
      <w:pPr>
        <w:pStyle w:val="Normal"/>
        <w:widowControl/>
        <w:suppressAutoHyphens w:val="true"/>
        <w:bidi w:val="0"/>
        <w:spacing w:lineRule="auto" w:line="240" w:before="0" w:after="0"/>
        <w:ind w:hanging="0" w:left="-57" w:right="0"/>
        <w:jc w:val="both"/>
        <w:rPr>
          <w:sz w:val="20"/>
          <w:szCs w:val="20"/>
        </w:rPr>
      </w:pPr>
      <w:r>
        <w:rPr>
          <w:rFonts w:ascii="Verdana" w:hAnsi="Verdana"/>
          <w:iCs/>
          <w:sz w:val="20"/>
          <w:szCs w:val="20"/>
          <w:shd w:fill="auto" w:val="clear"/>
        </w:rPr>
        <w:t xml:space="preserve">b) Multa, calculada na forma do edital, com base no total do valor da contratação realizada de forma direta e será aplicada ao responsável por qualquer das infrações administrativas previstas no item 9.1 deste Termo de Referência, no percentual de 10% (dez por cento), na hipótese de cometimento das infrações previstas nos itens 9.1.1 a 9.1.7 e 20% (vinte por cento), se cometidas infrações previstas nos itens 9.1.8 a 9.1.12; </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b.1) O valor da multa poderá ser descontado das faturas devidas à CONTRATADA;</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 xml:space="preserve">b.2) A multa pode ser aplicada isoladamente ou juntamente com as penalidades definidas nos itens “c” e “d” abaixo: </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widowControl/>
        <w:suppressAutoHyphens w:val="true"/>
        <w:bidi w:val="0"/>
        <w:spacing w:lineRule="auto" w:line="240" w:before="0" w:after="0"/>
        <w:ind w:hanging="0" w:left="0" w:right="0"/>
        <w:jc w:val="both"/>
        <w:rPr>
          <w:sz w:val="20"/>
          <w:szCs w:val="20"/>
        </w:rPr>
      </w:pPr>
      <w:r>
        <w:rPr>
          <w:rFonts w:ascii="Verdana" w:hAnsi="Verdana"/>
          <w:iCs/>
          <w:sz w:val="20"/>
          <w:szCs w:val="20"/>
          <w:shd w:fill="auto" w:val="clear"/>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40"/>
        <w:ind w:hanging="0" w:left="0" w:right="0"/>
        <w:jc w:val="both"/>
        <w:rPr>
          <w:sz w:val="20"/>
          <w:szCs w:val="20"/>
        </w:rPr>
      </w:pPr>
      <w:r>
        <w:rPr>
          <w:rFonts w:ascii="Verdana" w:hAnsi="Verdana"/>
          <w:iCs/>
          <w:sz w:val="20"/>
          <w:szCs w:val="20"/>
          <w:shd w:fill="auto" w:val="clear"/>
        </w:rPr>
        <w:t>9.3. Na aplicação das sanções serão considerados:</w:t>
      </w:r>
    </w:p>
    <w:p>
      <w:pPr>
        <w:pStyle w:val="Normal"/>
        <w:spacing w:lineRule="auto" w:line="240"/>
        <w:ind w:hanging="0" w:left="0" w:right="0"/>
        <w:jc w:val="both"/>
        <w:rPr>
          <w:sz w:val="20"/>
          <w:szCs w:val="20"/>
        </w:rPr>
      </w:pPr>
      <w:r>
        <w:rPr>
          <w:rFonts w:ascii="Verdana" w:hAnsi="Verdana"/>
          <w:iCs/>
          <w:sz w:val="20"/>
          <w:szCs w:val="20"/>
          <w:shd w:fill="auto" w:val="clear"/>
        </w:rPr>
        <w:t>9.3.1. A natureza e a gravidade da infração cometida.</w:t>
      </w:r>
    </w:p>
    <w:p>
      <w:pPr>
        <w:pStyle w:val="Normal"/>
        <w:spacing w:lineRule="auto" w:line="240"/>
        <w:ind w:hanging="0" w:left="0" w:right="0"/>
        <w:jc w:val="both"/>
        <w:rPr>
          <w:sz w:val="20"/>
          <w:szCs w:val="20"/>
        </w:rPr>
      </w:pPr>
      <w:r>
        <w:rPr>
          <w:rFonts w:ascii="Verdana" w:hAnsi="Verdana"/>
          <w:iCs/>
          <w:sz w:val="20"/>
          <w:szCs w:val="20"/>
          <w:shd w:fill="auto" w:val="clear"/>
        </w:rPr>
        <w:t>9.3.2. As peculiaridades do caso concreto.</w:t>
      </w:r>
    </w:p>
    <w:p>
      <w:pPr>
        <w:pStyle w:val="Normal"/>
        <w:spacing w:lineRule="auto" w:line="240"/>
        <w:ind w:hanging="0" w:left="0" w:right="0"/>
        <w:jc w:val="both"/>
        <w:rPr>
          <w:sz w:val="20"/>
          <w:szCs w:val="20"/>
        </w:rPr>
      </w:pPr>
      <w:r>
        <w:rPr>
          <w:rFonts w:ascii="Verdana" w:hAnsi="Verdana"/>
          <w:iCs/>
          <w:sz w:val="20"/>
          <w:szCs w:val="20"/>
          <w:shd w:fill="auto" w:val="clear"/>
        </w:rPr>
        <w:t>9.3.3. As circunstâncias agravantes ou atenuantes.</w:t>
      </w:r>
    </w:p>
    <w:p>
      <w:pPr>
        <w:pStyle w:val="Normal"/>
        <w:spacing w:lineRule="auto" w:line="240"/>
        <w:ind w:hanging="0" w:left="0" w:right="0"/>
        <w:jc w:val="both"/>
        <w:rPr>
          <w:sz w:val="20"/>
          <w:szCs w:val="20"/>
        </w:rPr>
      </w:pPr>
      <w:r>
        <w:rPr>
          <w:rFonts w:ascii="Verdana" w:hAnsi="Verdana"/>
          <w:iCs/>
          <w:sz w:val="20"/>
          <w:szCs w:val="20"/>
          <w:shd w:fill="auto" w:val="clear"/>
        </w:rPr>
        <w:t>9.3.4. Os danos que dela provierem para a Administração Pública.</w:t>
      </w:r>
    </w:p>
    <w:p>
      <w:pPr>
        <w:pStyle w:val="Normal"/>
        <w:spacing w:lineRule="auto" w:line="240"/>
        <w:ind w:hanging="0" w:left="0" w:right="0"/>
        <w:jc w:val="both"/>
        <w:rPr>
          <w:sz w:val="20"/>
          <w:szCs w:val="20"/>
        </w:rPr>
      </w:pPr>
      <w:r>
        <w:rPr>
          <w:rFonts w:ascii="Verdana" w:hAnsi="Verdana"/>
          <w:iCs/>
          <w:sz w:val="20"/>
          <w:szCs w:val="20"/>
          <w:shd w:fill="auto" w:val="clear"/>
        </w:rPr>
        <w:t>9.3.5. A implantação ou o aperfeiçoamento de programa de integridade, conforme normas e orientações dos órgãos de controle.</w:t>
      </w:r>
    </w:p>
    <w:p>
      <w:pPr>
        <w:pStyle w:val="Normal"/>
        <w:spacing w:lineRule="auto" w:line="240"/>
        <w:ind w:hanging="0" w:left="0" w:right="0"/>
        <w:jc w:val="both"/>
        <w:rPr>
          <w:sz w:val="20"/>
          <w:szCs w:val="20"/>
        </w:rPr>
      </w:pPr>
      <w:r>
        <w:rPr>
          <w:rFonts w:ascii="Verdana" w:hAnsi="Verdana"/>
          <w:iCs/>
          <w:sz w:val="20"/>
          <w:szCs w:val="20"/>
          <w:shd w:fill="auto" w:val="clear"/>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hanging="0" w:left="0" w:right="0"/>
        <w:jc w:val="both"/>
        <w:rPr>
          <w:sz w:val="20"/>
          <w:szCs w:val="20"/>
        </w:rPr>
      </w:pPr>
      <w:r>
        <w:rPr>
          <w:rFonts w:ascii="Verdana" w:hAnsi="Verdana"/>
          <w:b w:val="false"/>
          <w:bCs w:val="false"/>
          <w:iCs/>
          <w:sz w:val="20"/>
          <w:szCs w:val="20"/>
          <w:shd w:fill="auto" w:val="clear"/>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0" w:right="0"/>
        <w:jc w:val="both"/>
        <w:rPr>
          <w:rFonts w:ascii="Verdana" w:hAnsi="Verdana"/>
          <w:sz w:val="20"/>
          <w:szCs w:val="20"/>
        </w:rPr>
      </w:pPr>
      <w:r>
        <w:rPr>
          <w:rFonts w:ascii="Verdana" w:hAnsi="Verdana"/>
          <w:sz w:val="20"/>
          <w:szCs w:val="20"/>
        </w:rPr>
      </w:r>
    </w:p>
    <w:p>
      <w:pPr>
        <w:pStyle w:val="Normal"/>
        <w:spacing w:lineRule="auto" w:line="240"/>
        <w:ind w:hanging="0" w:left="-79" w:right="0"/>
        <w:jc w:val="both"/>
        <w:rPr>
          <w:sz w:val="20"/>
          <w:szCs w:val="20"/>
        </w:rPr>
      </w:pPr>
      <w:r>
        <w:rPr>
          <w:rFonts w:ascii="Verdana" w:hAnsi="Verdana"/>
          <w:b/>
          <w:bCs/>
          <w:sz w:val="20"/>
          <w:szCs w:val="20"/>
          <w:lang w:eastAsia="en-US"/>
        </w:rPr>
        <w:t>10. DA HABILITAÇÃO</w:t>
      </w:r>
    </w:p>
    <w:p>
      <w:pPr>
        <w:pStyle w:val="Normal"/>
        <w:spacing w:lineRule="auto" w:line="240"/>
        <w:ind w:hanging="0" w:left="-79" w:right="0"/>
        <w:jc w:val="both"/>
        <w:rPr>
          <w:sz w:val="20"/>
          <w:szCs w:val="20"/>
        </w:rPr>
      </w:pPr>
      <w:r>
        <w:rPr>
          <w:rFonts w:cs="Verdana" w:ascii="Verdana" w:hAnsi="Verdana"/>
          <w:b w:val="false"/>
          <w:bCs w:val="false"/>
          <w:sz w:val="20"/>
          <w:szCs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a) SICAF;</w:t>
      </w:r>
    </w:p>
    <w:p>
      <w:pPr>
        <w:pStyle w:val="ListParagraph"/>
        <w:spacing w:lineRule="auto" w:line="240" w:before="57" w:after="57"/>
        <w:ind w:hanging="0" w:left="0" w:right="0"/>
        <w:contextualSpacing w:val="false"/>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4">
        <w:r>
          <w:rPr>
            <w:rStyle w:val="Hyperlink"/>
            <w:rFonts w:cs="Verdana" w:ascii="Verdana" w:hAnsi="Verdana"/>
            <w:b w:val="false"/>
            <w:bCs w:val="false"/>
            <w:sz w:val="20"/>
            <w:szCs w:val="20"/>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hanging="0" w:left="0" w:right="0"/>
        <w:contextualSpacing w:val="false"/>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5">
        <w:r>
          <w:rPr>
            <w:rStyle w:val="Hyperlink"/>
            <w:rFonts w:cs="Verdana" w:ascii="Verdana" w:hAnsi="Verdana"/>
            <w:b w:val="false"/>
            <w:bCs w:val="false"/>
            <w:sz w:val="20"/>
            <w:szCs w:val="20"/>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Hyperlink"/>
            <w:rFonts w:cs="Verdana" w:ascii="Verdana" w:hAnsi="Verdana"/>
            <w:b w:val="false"/>
            <w:bCs w:val="false"/>
            <w:sz w:val="20"/>
            <w:szCs w:val="20"/>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10.1.1. Para a consulta de licitantes pessoa jurídica poderá haver a substituição das consultas das alíneas “b”, “c” e “d” acima pela Consulta Consolidada de Pessoa Jurídica do TCU (</w:t>
      </w:r>
      <w:hyperlink r:id="rId7">
        <w:r>
          <w:rPr>
            <w:rStyle w:val="Hyperlink"/>
            <w:rFonts w:cs="Verdana" w:ascii="Verdana" w:hAnsi="Verdana"/>
            <w:b w:val="false"/>
            <w:bCs w:val="false"/>
            <w:sz w:val="20"/>
            <w:szCs w:val="20"/>
            <w:lang w:eastAsia="ar-SA"/>
          </w:rPr>
          <w:t>https://certidoesapf.apps.tcu.gov.br/</w:t>
        </w:r>
      </w:hyperlink>
      <w:r>
        <w:rPr>
          <w:rFonts w:cs="Verdana" w:ascii="Verdana" w:hAnsi="Verdana"/>
          <w:b w:val="false"/>
          <w:bCs w:val="false"/>
          <w:sz w:val="20"/>
          <w:szCs w:val="20"/>
          <w:lang w:eastAsia="ar-SA"/>
        </w:rPr>
        <w:t>);</w:t>
      </w:r>
    </w:p>
    <w:p>
      <w:pPr>
        <w:pStyle w:val="Normal"/>
        <w:spacing w:lineRule="auto" w:line="240" w:before="57" w:after="57"/>
        <w:jc w:val="both"/>
        <w:rPr>
          <w:sz w:val="20"/>
          <w:szCs w:val="20"/>
        </w:rPr>
      </w:pPr>
      <w:r>
        <w:rPr>
          <w:rFonts w:cs="Verdana" w:ascii="Verdana" w:hAnsi="Verdana"/>
          <w:b w:val="false"/>
          <w:bCs w:val="false"/>
          <w:color w:val="000000"/>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10.1.3.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10.1.4.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10.1.5. O licitante será convocado para manifestação previamente à sua desclassificação.</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10.1.6 .Constatada a existência de sanção, o Pregoeiro reputará o licitante inabilitado, por falta de condição de participação.</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10.1.7.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 xml:space="preserve">10.1.8.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sz w:val="20"/>
          <w:szCs w:val="20"/>
          <w:lang w:eastAsia="ar-SA"/>
        </w:rPr>
        <w:t>10.1.9.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10.1.10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10.1.11. O descu</w:t>
      </w:r>
      <w:r>
        <w:rPr>
          <w:rFonts w:cs="Verdana" w:ascii="Verdana" w:hAnsi="Verdana"/>
          <w:color w:val="000000"/>
          <w:sz w:val="20"/>
          <w:szCs w:val="20"/>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240" w:before="57" w:after="57"/>
        <w:ind w:hanging="0"/>
        <w:rPr>
          <w:sz w:val="20"/>
          <w:szCs w:val="20"/>
        </w:rPr>
      </w:pPr>
      <w:r>
        <w:rPr>
          <w:rFonts w:cs="Verdana" w:ascii="Verdana" w:hAnsi="Verdana"/>
          <w:b w:val="false"/>
          <w:bCs w:val="false"/>
          <w:color w:val="000000"/>
          <w:sz w:val="20"/>
          <w:szCs w:val="20"/>
        </w:rPr>
        <w:t>10.1.12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240" w:before="57" w:after="57"/>
        <w:ind w:hanging="0"/>
        <w:rPr>
          <w:sz w:val="20"/>
          <w:szCs w:val="20"/>
        </w:rPr>
      </w:pPr>
      <w:r>
        <w:rPr>
          <w:rFonts w:cs="Verdana" w:ascii="Verdana" w:hAnsi="Verdana"/>
          <w:b w:val="false"/>
          <w:bCs w:val="false"/>
          <w:sz w:val="20"/>
          <w:szCs w:val="20"/>
        </w:rPr>
        <w:t>10.1.13.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240" w:before="57" w:after="57"/>
        <w:ind w:hanging="0"/>
        <w:rPr>
          <w:sz w:val="20"/>
          <w:szCs w:val="20"/>
        </w:rPr>
      </w:pPr>
      <w:r>
        <w:rPr>
          <w:rFonts w:cs="Verdana" w:ascii="Verdana" w:hAnsi="Verdana"/>
          <w:b w:val="false"/>
          <w:bCs w:val="false"/>
          <w:sz w:val="20"/>
          <w:szCs w:val="20"/>
        </w:rPr>
        <w:t>10.1.14. Não serão aceitos documentos de habilitação com indicação de CNPJ/CPF diferentes, salvo aqueles legalmente permitidos.</w:t>
      </w:r>
    </w:p>
    <w:p>
      <w:pPr>
        <w:pStyle w:val="PADRO"/>
        <w:widowControl/>
        <w:tabs>
          <w:tab w:val="clear" w:pos="708"/>
          <w:tab w:val="left" w:pos="567" w:leader="none"/>
        </w:tabs>
        <w:spacing w:lineRule="auto" w:line="240" w:before="57" w:after="57"/>
        <w:ind w:hanging="0"/>
        <w:rPr>
          <w:sz w:val="20"/>
          <w:szCs w:val="20"/>
        </w:rPr>
      </w:pPr>
      <w:r>
        <w:rPr>
          <w:rFonts w:cs="Verdana" w:ascii="Verdana" w:hAnsi="Verdana"/>
          <w:b w:val="false"/>
          <w:bCs w:val="false"/>
          <w:sz w:val="20"/>
          <w:szCs w:val="20"/>
        </w:rPr>
        <w:t>10.1.15.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240" w:before="0" w:after="0"/>
        <w:ind w:hanging="0"/>
        <w:rPr>
          <w:sz w:val="20"/>
          <w:szCs w:val="20"/>
        </w:rPr>
      </w:pPr>
      <w:r>
        <w:rPr>
          <w:rFonts w:cs="Verdana" w:ascii="Verdana" w:hAnsi="Verdana"/>
          <w:b w:val="false"/>
          <w:bCs w:val="false"/>
          <w:color w:val="000000"/>
          <w:sz w:val="20"/>
          <w:szCs w:val="20"/>
        </w:rPr>
        <w:t>10.1.16</w:t>
      </w:r>
      <w:r>
        <w:rPr>
          <w:rFonts w:cs="Verdana" w:ascii="Verdana" w:hAnsi="Verdana"/>
          <w:color w:val="000000"/>
          <w:sz w:val="20"/>
          <w:szCs w:val="20"/>
        </w:rPr>
        <w:t xml:space="preserve"> Ressalvado o disposto no item 5.3, os licitantes deverão encaminhar, nos termos deste Edital, a documentação relacionada nos itens a seguir, para fins de habilitação:</w:t>
      </w:r>
    </w:p>
    <w:p>
      <w:pPr>
        <w:pStyle w:val="ListParagraph"/>
        <w:spacing w:lineRule="auto" w:line="240" w:before="57" w:after="57"/>
        <w:ind w:hanging="0" w:left="0" w:right="0"/>
        <w:contextualSpacing w:val="false"/>
        <w:jc w:val="both"/>
        <w:rPr>
          <w:sz w:val="20"/>
          <w:szCs w:val="20"/>
        </w:rPr>
      </w:pPr>
      <w:r>
        <w:rPr>
          <w:rFonts w:cs="Verdana" w:ascii="Verdana" w:hAnsi="Verdana"/>
          <w:b/>
          <w:bCs/>
          <w:color w:val="000000"/>
          <w:sz w:val="20"/>
          <w:szCs w:val="20"/>
        </w:rPr>
        <w:t>10.2 Habilitação jurídica:</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10.2.1 No caso de empresário individual: inscrição no Registro Público de Empresas Mercantis, a cargo da Junta Comercial da respectiva sede;</w:t>
      </w:r>
    </w:p>
    <w:p>
      <w:pPr>
        <w:pStyle w:val="ListParagraph"/>
        <w:spacing w:lineRule="auto" w:line="240" w:before="57" w:after="57"/>
        <w:ind w:hanging="0" w:left="0" w:right="0"/>
        <w:contextualSpacing w:val="false"/>
        <w:jc w:val="both"/>
        <w:rPr/>
      </w:pPr>
      <w:r>
        <w:rPr>
          <w:rFonts w:cs="Verdana" w:ascii="Verdana" w:hAnsi="Verdana"/>
          <w:b w:val="false"/>
          <w:bCs w:val="false"/>
          <w:color w:val="000000"/>
          <w:sz w:val="20"/>
          <w:szCs w:val="20"/>
        </w:rPr>
        <w:t xml:space="preserve">10.2.2 Em se tratando de microempreendedor individual – MEI: Certificado da Condição de Microempreendedor Individual – CCMEI, cuja aceitação ficará condicionada à verificação da autenticidade no sítio </w:t>
      </w:r>
      <w:hyperlink r:id="rId8">
        <w:r>
          <w:rPr>
            <w:rStyle w:val="Hyperlink"/>
            <w:rFonts w:cs="Verdana" w:ascii="Verdana" w:hAnsi="Verdana"/>
            <w:b w:val="false"/>
            <w:bCs w:val="false"/>
            <w:color w:val="000000"/>
            <w:sz w:val="20"/>
            <w:szCs w:val="20"/>
          </w:rPr>
          <w:t>www.portaldoempreendedor.gov.br</w:t>
        </w:r>
      </w:hyperlink>
      <w:r>
        <w:rPr>
          <w:rFonts w:cs="Verdana" w:ascii="Verdana" w:hAnsi="Verdana"/>
          <w:b w:val="false"/>
          <w:bCs w:val="false"/>
          <w:color w:val="000000"/>
          <w:sz w:val="20"/>
          <w:szCs w:val="20"/>
        </w:rPr>
        <w:t>;</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10.2.4 Inscrição no Registro Público de Empresas Mercantis onde opera, com averbação no Registro onde tem sede a matriz, no caso de ser o participante sucursal, filial ou agência;</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10.2.6</w:t>
      </w:r>
      <w:r>
        <w:rPr>
          <w:rFonts w:cs="Verdana" w:ascii="Verdana" w:hAnsi="Verdana"/>
          <w:b/>
          <w:bCs/>
          <w:color w:val="000000"/>
          <w:sz w:val="20"/>
          <w:szCs w:val="20"/>
        </w:rPr>
        <w:t xml:space="preserve"> </w:t>
      </w:r>
      <w:r>
        <w:rPr>
          <w:rFonts w:cs="Verdana"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hanging="0" w:left="0" w:right="0"/>
        <w:contextualSpacing w:val="false"/>
        <w:jc w:val="both"/>
        <w:rPr>
          <w:sz w:val="20"/>
          <w:szCs w:val="20"/>
        </w:rPr>
      </w:pPr>
      <w:r>
        <w:rPr>
          <w:rFonts w:cs="Verdana" w:ascii="Verdana" w:hAnsi="Verdana"/>
          <w:b w:val="false"/>
          <w:bCs w:val="false"/>
          <w:color w:val="000000"/>
          <w:sz w:val="20"/>
          <w:szCs w:val="20"/>
        </w:rPr>
        <w:t>10.2.7 No caso de empresa ou sociedade estrangeira em funcionamento no País: decreto de autorização;</w:t>
      </w:r>
    </w:p>
    <w:p>
      <w:pPr>
        <w:pStyle w:val="ListParagraph"/>
        <w:spacing w:lineRule="auto" w:line="240" w:before="0" w:after="0"/>
        <w:ind w:hanging="0" w:left="0" w:right="0"/>
        <w:contextualSpacing w:val="false"/>
        <w:jc w:val="both"/>
        <w:rPr>
          <w:sz w:val="20"/>
          <w:szCs w:val="20"/>
        </w:rPr>
      </w:pPr>
      <w:r>
        <w:rPr>
          <w:rFonts w:cs="Verdana" w:ascii="Verdana" w:hAnsi="Verdana"/>
          <w:b w:val="false"/>
          <w:bCs w:val="false"/>
          <w:color w:val="000000"/>
          <w:sz w:val="20"/>
          <w:szCs w:val="20"/>
        </w:rPr>
        <w:t>10.2.8 Os documentos acima deverão estar acompanhados de todas as alterações ou da c</w:t>
      </w:r>
      <w:r>
        <w:rPr>
          <w:rFonts w:cs="Verdana" w:ascii="Verdana" w:hAnsi="Verdana"/>
          <w:bCs/>
          <w:color w:val="000000"/>
          <w:sz w:val="20"/>
          <w:szCs w:val="20"/>
        </w:rPr>
        <w:t>onsolidação respectiva;</w:t>
      </w:r>
    </w:p>
    <w:p>
      <w:pPr>
        <w:pStyle w:val="ListParagraph"/>
        <w:spacing w:lineRule="auto" w:line="240" w:before="57" w:after="57"/>
        <w:ind w:hanging="0" w:left="0" w:right="0"/>
        <w:contextualSpacing w:val="false"/>
        <w:jc w:val="both"/>
        <w:rPr>
          <w:sz w:val="20"/>
          <w:szCs w:val="20"/>
        </w:rPr>
      </w:pPr>
      <w:r>
        <w:rPr>
          <w:rFonts w:cs="Verdana" w:ascii="Verdana" w:hAnsi="Verdana"/>
          <w:b/>
          <w:bCs/>
          <w:color w:val="000000"/>
          <w:sz w:val="20"/>
          <w:szCs w:val="20"/>
        </w:rPr>
        <w:t xml:space="preserve">10.3.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napToGrid w:val="false"/>
        <w:spacing w:lineRule="auto" w:line="240" w:before="57" w:after="57"/>
        <w:jc w:val="both"/>
        <w:rPr>
          <w:sz w:val="20"/>
          <w:szCs w:val="20"/>
        </w:rPr>
      </w:pPr>
      <w:r>
        <w:rPr>
          <w:rFonts w:cs="Verdana" w:ascii="Verdana" w:hAnsi="Verdana"/>
          <w:b w:val="false"/>
          <w:bCs w:val="false"/>
          <w:sz w:val="20"/>
          <w:szCs w:val="20"/>
          <w:lang w:eastAsia="en-US"/>
        </w:rPr>
        <w:t>10.3.1 Prova de inscrição no Cadastro Nacional de Pessoas Jurídicas ou no Cadastro de Pessoas Físicas, conforme o caso;</w:t>
      </w:r>
    </w:p>
    <w:p>
      <w:pPr>
        <w:pStyle w:val="Normal"/>
        <w:snapToGrid w:val="false"/>
        <w:spacing w:lineRule="auto" w:line="240" w:before="57" w:after="57"/>
        <w:jc w:val="both"/>
        <w:rPr>
          <w:sz w:val="20"/>
          <w:szCs w:val="20"/>
        </w:rPr>
      </w:pPr>
      <w:r>
        <w:rPr>
          <w:rFonts w:cs="Verdana" w:ascii="Verdana" w:hAnsi="Verdana"/>
          <w:b w:val="false"/>
          <w:bCs w:val="false"/>
          <w:sz w:val="20"/>
          <w:szCs w:val="20"/>
          <w:lang w:eastAsia="en-US"/>
        </w:rPr>
        <w:t>10.3.2 Certidão de regularidade junto à fazenda pública Municipal, do domicílio do Licitante;</w:t>
      </w:r>
    </w:p>
    <w:p>
      <w:pPr>
        <w:pStyle w:val="Normal"/>
        <w:snapToGrid w:val="false"/>
        <w:spacing w:lineRule="auto" w:line="240" w:before="57" w:after="57"/>
        <w:jc w:val="both"/>
        <w:rPr>
          <w:sz w:val="20"/>
          <w:szCs w:val="20"/>
        </w:rPr>
      </w:pPr>
      <w:r>
        <w:rPr>
          <w:rFonts w:cs="Verdana" w:ascii="Verdana" w:hAnsi="Verdana"/>
          <w:b w:val="false"/>
          <w:bCs w:val="false"/>
          <w:sz w:val="20"/>
          <w:szCs w:val="20"/>
        </w:rPr>
        <w:t>10.3.3 Certidão de regularidade junto à fazenda pública Estadual, do domicílio do Licitante;</w:t>
      </w:r>
    </w:p>
    <w:p>
      <w:pPr>
        <w:pStyle w:val="Normal"/>
        <w:snapToGrid w:val="false"/>
        <w:spacing w:lineRule="auto" w:line="240" w:before="57" w:after="57"/>
        <w:jc w:val="both"/>
        <w:rPr>
          <w:sz w:val="20"/>
          <w:szCs w:val="20"/>
        </w:rPr>
      </w:pPr>
      <w:r>
        <w:rPr>
          <w:rFonts w:cs="Verdana" w:ascii="Verdana" w:hAnsi="Verdana"/>
          <w:b w:val="false"/>
          <w:bCs w:val="false"/>
          <w:sz w:val="20"/>
          <w:szCs w:val="20"/>
        </w:rPr>
        <w:t>10.3.4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40" w:before="57" w:after="57"/>
        <w:jc w:val="both"/>
        <w:rPr>
          <w:sz w:val="20"/>
          <w:szCs w:val="20"/>
        </w:rPr>
      </w:pPr>
      <w:r>
        <w:rPr>
          <w:rFonts w:cs="Verdana" w:ascii="Verdana" w:hAnsi="Verdana"/>
          <w:b w:val="false"/>
          <w:bCs w:val="false"/>
          <w:sz w:val="20"/>
          <w:szCs w:val="20"/>
        </w:rPr>
        <w:t>10.3.5 Certidão de regularidade junto ao FGTS;</w:t>
      </w:r>
    </w:p>
    <w:p>
      <w:pPr>
        <w:pStyle w:val="Normal"/>
        <w:snapToGrid w:val="false"/>
        <w:spacing w:lineRule="auto" w:line="240" w:before="57" w:after="57"/>
        <w:jc w:val="both"/>
        <w:rPr>
          <w:sz w:val="20"/>
          <w:szCs w:val="20"/>
        </w:rPr>
      </w:pPr>
      <w:r>
        <w:rPr>
          <w:rFonts w:cs="Verdana" w:ascii="Verdana" w:hAnsi="Verdana"/>
          <w:b w:val="false"/>
          <w:bCs w:val="false"/>
          <w:sz w:val="20"/>
          <w:szCs w:val="20"/>
          <w:lang w:eastAsia="en-US"/>
        </w:rPr>
        <w:t>10.3.6 Certidão Negativa De Débitos Trabalhistas (CNDT) de acordo com a Lei 12440 de 7 de julho de 2011.</w:t>
      </w:r>
    </w:p>
    <w:p>
      <w:pPr>
        <w:pStyle w:val="Normal"/>
        <w:snapToGrid w:val="false"/>
        <w:spacing w:lineRule="auto" w:line="240" w:before="0" w:after="0"/>
        <w:jc w:val="both"/>
        <w:rPr>
          <w:sz w:val="20"/>
          <w:szCs w:val="20"/>
        </w:rPr>
      </w:pPr>
      <w:r>
        <w:rPr>
          <w:rFonts w:cs="Verdana" w:ascii="Verdana" w:hAnsi="Verdana"/>
          <w:b w:val="false"/>
          <w:bCs w:val="false"/>
          <w:color w:val="000000"/>
          <w:sz w:val="20"/>
          <w:szCs w:val="20"/>
          <w:lang w:eastAsia="en-US" w:bidi="pt-BR"/>
        </w:rPr>
        <w:t xml:space="preserve">10.3.7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 compr</w:t>
      </w:r>
      <w:r>
        <w:rPr>
          <w:rFonts w:cs="Verdana" w:ascii="Verdana" w:hAnsi="Verdana"/>
          <w:color w:val="000000"/>
          <w:sz w:val="20"/>
          <w:szCs w:val="20"/>
          <w:lang w:eastAsia="en-US"/>
        </w:rPr>
        <w:t>ovação de regularidade fiscal, mesmo que esta apresente alguma restrição, sob pena de inabilitação.</w:t>
      </w:r>
    </w:p>
    <w:p>
      <w:pPr>
        <w:pStyle w:val="ListParagraph"/>
        <w:spacing w:lineRule="auto" w:line="240" w:before="57" w:after="57"/>
        <w:ind w:hanging="0" w:left="0" w:right="0"/>
        <w:contextualSpacing w:val="false"/>
        <w:jc w:val="both"/>
        <w:rPr>
          <w:sz w:val="20"/>
          <w:szCs w:val="20"/>
        </w:rPr>
      </w:pPr>
      <w:r>
        <w:rPr>
          <w:rFonts w:cs="Verdana" w:ascii="Verdana" w:hAnsi="Verdana"/>
          <w:b/>
          <w:color w:val="000000"/>
          <w:sz w:val="20"/>
          <w:szCs w:val="20"/>
        </w:rPr>
        <w:t>10.4 Qualificação Econômico-Financeira</w:t>
      </w:r>
      <w:r>
        <w:rPr>
          <w:rFonts w:cs="Verdana" w:ascii="Verdana" w:hAnsi="Verdana"/>
          <w:color w:val="000000"/>
          <w:sz w:val="20"/>
          <w:szCs w:val="20"/>
        </w:rPr>
        <w:t>.</w:t>
      </w:r>
    </w:p>
    <w:p>
      <w:pPr>
        <w:pStyle w:val="Normal"/>
        <w:tabs>
          <w:tab w:val="clear" w:pos="708"/>
          <w:tab w:val="left" w:pos="850" w:leader="none"/>
        </w:tabs>
        <w:snapToGrid w:val="false"/>
        <w:spacing w:lineRule="auto" w:line="240" w:before="57" w:after="57"/>
        <w:jc w:val="both"/>
        <w:rPr>
          <w:sz w:val="20"/>
          <w:szCs w:val="20"/>
        </w:rPr>
      </w:pPr>
      <w:r>
        <w:rPr>
          <w:rFonts w:cs="Verdana" w:ascii="Verdana" w:hAnsi="Verdana"/>
          <w:b w:val="false"/>
          <w:bCs w:val="false"/>
          <w:color w:val="000000"/>
          <w:sz w:val="20"/>
          <w:szCs w:val="20"/>
          <w:u w:val="none"/>
        </w:rPr>
        <w:t>10.4.1 Certidão negativa de falência, recuperação judicial e extrajudicial, expedida pelo cartório distribuidor da sede da Licitante ou por meio digital, emitida em até 30 (trinta) dias anteriores à data de abertura da Dispensa de Licitação;</w:t>
      </w:r>
    </w:p>
    <w:p>
      <w:pPr>
        <w:pStyle w:val="Normal"/>
        <w:tabs>
          <w:tab w:val="clear" w:pos="708"/>
          <w:tab w:val="left" w:pos="850" w:leader="none"/>
        </w:tabs>
        <w:snapToGrid w:val="false"/>
        <w:spacing w:lineRule="auto" w:line="240" w:before="57" w:after="57"/>
        <w:jc w:val="both"/>
        <w:rPr>
          <w:sz w:val="20"/>
          <w:szCs w:val="20"/>
        </w:rPr>
      </w:pPr>
      <w:r>
        <w:rPr>
          <w:rFonts w:cs="Verdana" w:ascii="Verdana" w:hAnsi="Verdana"/>
          <w:b w:val="false"/>
          <w:bCs w:val="false"/>
          <w:color w:val="000000"/>
          <w:sz w:val="20"/>
          <w:szCs w:val="20"/>
          <w:u w:val="none"/>
        </w:rPr>
        <w:t>10.4.2 Havendo algum prazo de validade estabelecido por cartório na certidão citada na letra anterior, será considerado o prazo constante da certidão para comprovação da sua validade.</w:t>
      </w:r>
    </w:p>
    <w:p>
      <w:pPr>
        <w:pStyle w:val="Normal"/>
        <w:widowControl/>
        <w:tabs>
          <w:tab w:val="clear" w:pos="708"/>
          <w:tab w:val="left" w:pos="850" w:leader="none"/>
        </w:tabs>
        <w:suppressAutoHyphens w:val="true"/>
        <w:bidi w:val="0"/>
        <w:snapToGrid w:val="false"/>
        <w:spacing w:lineRule="auto" w:line="240" w:before="57" w:after="57"/>
        <w:ind w:hanging="0" w:left="-57" w:right="0"/>
        <w:jc w:val="both"/>
        <w:rPr>
          <w:sz w:val="20"/>
          <w:szCs w:val="20"/>
        </w:rPr>
      </w:pPr>
      <w:r>
        <w:rPr>
          <w:rFonts w:cs="Verdana" w:ascii="Verdana" w:hAnsi="Verdana"/>
          <w:b w:val="false"/>
          <w:bCs w:val="false"/>
          <w:sz w:val="20"/>
          <w:szCs w:val="20"/>
          <w:u w:val="none"/>
        </w:rPr>
        <w:t>10.4.3 Para a contagem do prazo estabelecido na letra “a” deste capítulo, será contado a partir do primeiro dia que antecede a data da realização desta dispensa de licitação.</w:t>
      </w:r>
    </w:p>
    <w:p>
      <w:pPr>
        <w:pStyle w:val="Normal"/>
        <w:tabs>
          <w:tab w:val="clear" w:pos="708"/>
          <w:tab w:val="left" w:pos="850" w:leader="none"/>
        </w:tabs>
        <w:snapToGrid w:val="false"/>
        <w:spacing w:lineRule="auto" w:line="240" w:before="0" w:after="0"/>
        <w:ind w:hanging="0" w:left="-79" w:right="0"/>
        <w:jc w:val="both"/>
        <w:rPr>
          <w:sz w:val="20"/>
          <w:szCs w:val="20"/>
        </w:rPr>
      </w:pPr>
      <w:r>
        <w:rPr>
          <w:rFonts w:cs="Verdana" w:ascii="Verdana" w:hAnsi="Verdana"/>
          <w:b w:val="false"/>
          <w:bCs w:val="false"/>
          <w:iCs/>
          <w:color w:val="000000"/>
          <w:sz w:val="20"/>
          <w:szCs w:val="20"/>
          <w:u w:val="none"/>
          <w:shd w:fill="auto" w:val="clear"/>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40" w:before="0" w:after="0"/>
        <w:ind w:hanging="0" w:left="-79" w:right="0"/>
        <w:jc w:val="both"/>
        <w:rPr>
          <w:rFonts w:ascii="Verdana" w:hAnsi="Verdana" w:cs="Verdana"/>
          <w:b w:val="false"/>
          <w:bCs w:val="false"/>
          <w:iCs/>
          <w:color w:val="000000"/>
          <w:sz w:val="20"/>
          <w:szCs w:val="20"/>
          <w:u w:val="none"/>
          <w:shd w:fill="auto" w:val="clear"/>
          <w:lang w:eastAsia="en-US"/>
        </w:rPr>
      </w:pPr>
      <w:r>
        <w:rPr>
          <w:rFonts w:cs="Verdana" w:ascii="Verdana" w:hAnsi="Verdana"/>
          <w:b w:val="false"/>
          <w:bCs w:val="false"/>
          <w:iCs/>
          <w:color w:val="000000"/>
          <w:sz w:val="20"/>
          <w:szCs w:val="20"/>
          <w:u w:val="none"/>
          <w:shd w:fill="auto" w:val="clear"/>
          <w:lang w:eastAsia="en-US"/>
        </w:rPr>
      </w:r>
    </w:p>
    <w:p>
      <w:pPr>
        <w:pStyle w:val="Normal"/>
        <w:suppressAutoHyphens w:val="false"/>
        <w:spacing w:lineRule="auto" w:line="240"/>
        <w:jc w:val="both"/>
        <w:rPr>
          <w:sz w:val="20"/>
          <w:szCs w:val="20"/>
        </w:rPr>
      </w:pPr>
      <w:r>
        <w:rPr>
          <w:rFonts w:cs="Arial" w:ascii="Verdana" w:hAnsi="Verdana"/>
          <w:b/>
          <w:sz w:val="20"/>
          <w:szCs w:val="20"/>
        </w:rPr>
        <w:t>11. RESULTADOS PRETENDIDOS COM A CONTRATAÇÃO</w:t>
      </w:r>
    </w:p>
    <w:p>
      <w:pPr>
        <w:pStyle w:val="Normal"/>
        <w:spacing w:lineRule="auto" w:line="240"/>
        <w:jc w:val="both"/>
        <w:rPr>
          <w:sz w:val="20"/>
          <w:szCs w:val="20"/>
        </w:rPr>
      </w:pPr>
      <w:r>
        <w:rPr>
          <w:rFonts w:cs="Arial" w:ascii="Verdana" w:hAnsi="Verdana"/>
          <w:b w:val="false"/>
          <w:bCs w:val="false"/>
          <w:sz w:val="20"/>
          <w:szCs w:val="20"/>
        </w:rPr>
        <w:t>11.1 Com a aquisição, buscaremos atender as demandas escolares e da Secretaria Municipal de Educação, visando garantir um bom atendimento aos estudantes e subsidiando o ensino.</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jc w:val="both"/>
        <w:rPr>
          <w:sz w:val="20"/>
          <w:szCs w:val="20"/>
        </w:rPr>
      </w:pPr>
      <w:r>
        <w:rPr>
          <w:rFonts w:cs="Arial" w:ascii="Verdana" w:hAnsi="Verdana"/>
          <w:b/>
          <w:sz w:val="20"/>
          <w:szCs w:val="20"/>
        </w:rPr>
        <w:t>12. PROVIDÊNCIAS A SEREM ADOTADAS</w:t>
      </w:r>
    </w:p>
    <w:p>
      <w:pPr>
        <w:pStyle w:val="Normal"/>
        <w:spacing w:lineRule="auto" w:line="240"/>
        <w:jc w:val="both"/>
        <w:rPr>
          <w:sz w:val="20"/>
          <w:szCs w:val="20"/>
        </w:rPr>
      </w:pPr>
      <w:r>
        <w:rPr>
          <w:rFonts w:cs="Arial" w:ascii="Verdana" w:hAnsi="Verdana"/>
          <w:b w:val="false"/>
          <w:bCs w:val="false"/>
          <w:sz w:val="20"/>
          <w:szCs w:val="20"/>
        </w:rPr>
        <w:t>12.1. A Secretaria Municipal de Educação deverá acompanhar, fiscalizar, comprovar e relatar, por escrito, as eventuais irregularidades na entrega dos equipamentos.</w:t>
      </w:r>
    </w:p>
    <w:p>
      <w:pPr>
        <w:pStyle w:val="Normal"/>
        <w:spacing w:lineRule="auto" w:line="240"/>
        <w:jc w:val="both"/>
        <w:rPr>
          <w:sz w:val="20"/>
          <w:szCs w:val="20"/>
        </w:rPr>
      </w:pPr>
      <w:r>
        <w:rPr>
          <w:rFonts w:cs="Arial" w:ascii="Verdana" w:hAnsi="Verdana"/>
          <w:b/>
          <w:sz w:val="20"/>
          <w:szCs w:val="20"/>
        </w:rPr>
        <w:t>12.2 Descontinuidades do Fornecimento</w:t>
      </w:r>
    </w:p>
    <w:p>
      <w:pPr>
        <w:pStyle w:val="Normal"/>
        <w:spacing w:lineRule="auto" w:line="240"/>
        <w:jc w:val="both"/>
        <w:rPr>
          <w:sz w:val="20"/>
          <w:szCs w:val="20"/>
        </w:rPr>
      </w:pPr>
      <w:r>
        <w:rPr>
          <w:rFonts w:cs="Arial" w:ascii="Verdana" w:hAnsi="Verdana"/>
          <w:b w:val="false"/>
          <w:bCs w:val="false"/>
          <w:sz w:val="20"/>
          <w:szCs w:val="20"/>
        </w:rPr>
        <w:t>12.2.1. No ca</w:t>
      </w:r>
      <w:r>
        <w:rPr>
          <w:rFonts w:cs="Arial" w:ascii="Verdana" w:hAnsi="Verdana"/>
          <w:sz w:val="20"/>
          <w:szCs w:val="20"/>
        </w:rPr>
        <w:t>so de desistência ou itens que não forem entregues, por parte da contratada, o gestor do contrato tomará as providências cabíveis, de acordo com cláusulas do edital e contrato.</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jc w:val="both"/>
        <w:rPr>
          <w:sz w:val="20"/>
          <w:szCs w:val="20"/>
        </w:rPr>
      </w:pPr>
      <w:r>
        <w:rPr>
          <w:rFonts w:cs="Arial" w:ascii="Verdana" w:hAnsi="Verdana"/>
          <w:b/>
          <w:sz w:val="20"/>
          <w:szCs w:val="20"/>
        </w:rPr>
        <w:t>13. POSSÍVEIS IMPACTOS AMBIENTAIS</w:t>
      </w:r>
    </w:p>
    <w:p>
      <w:pPr>
        <w:pStyle w:val="Normal"/>
        <w:spacing w:lineRule="auto" w:line="240"/>
        <w:jc w:val="both"/>
        <w:rPr>
          <w:sz w:val="20"/>
          <w:szCs w:val="20"/>
        </w:rPr>
      </w:pPr>
      <w:r>
        <w:rPr>
          <w:rFonts w:cs="Arial" w:ascii="Verdana" w:hAnsi="Verdana"/>
          <w:sz w:val="20"/>
          <w:szCs w:val="20"/>
        </w:rPr>
        <w:t>13.1. Não haverá danos ao meio ambiente</w:t>
      </w:r>
      <w:r>
        <w:rPr>
          <w:rFonts w:cs="Arial" w:ascii="Verdana" w:hAnsi="Verdana"/>
          <w:b/>
          <w:sz w:val="20"/>
          <w:szCs w:val="20"/>
        </w:rPr>
        <w:t>.</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3"/>
        <w:spacing w:lineRule="auto" w:line="240" w:before="0" w:after="0"/>
        <w:jc w:val="both"/>
        <w:rPr>
          <w:sz w:val="20"/>
          <w:szCs w:val="20"/>
        </w:rPr>
      </w:pPr>
      <w:r>
        <w:rPr>
          <w:rFonts w:ascii="Verdana" w:hAnsi="Verdana"/>
          <w:b/>
          <w:bCs/>
          <w:sz w:val="20"/>
          <w:szCs w:val="20"/>
        </w:rPr>
        <w:t>14. CONTRATAÇÕES CORRELATAS E/OU INTERDEPENDENTES</w:t>
      </w:r>
    </w:p>
    <w:p>
      <w:pPr>
        <w:pStyle w:val="normal3"/>
        <w:widowControl/>
        <w:spacing w:lineRule="auto" w:line="240" w:before="0" w:after="0"/>
        <w:ind w:hanging="0" w:left="0" w:right="0"/>
        <w:jc w:val="both"/>
        <w:rPr>
          <w:sz w:val="20"/>
          <w:szCs w:val="20"/>
        </w:rPr>
      </w:pPr>
      <w:r>
        <w:rPr>
          <w:rFonts w:ascii="Verdana" w:hAnsi="Verdana"/>
          <w:b w:val="false"/>
          <w:bCs w:val="false"/>
          <w:sz w:val="20"/>
          <w:szCs w:val="20"/>
        </w:rPr>
        <w:t>14.1. Nã</w:t>
      </w:r>
      <w:r>
        <w:rPr>
          <w:rFonts w:ascii="Verdana" w:hAnsi="Verdana"/>
          <w:sz w:val="20"/>
          <w:szCs w:val="20"/>
        </w:rPr>
        <w:t>o se verificam contratações correlatas ou interdependentes para a viabilidade e contratação desta demanda.</w:t>
      </w:r>
    </w:p>
    <w:p>
      <w:pPr>
        <w:pStyle w:val="normal3"/>
        <w:spacing w:lineRule="auto" w:line="240" w:before="0" w:after="0"/>
        <w:jc w:val="both"/>
        <w:rPr>
          <w:rFonts w:ascii="Verdana" w:hAnsi="Verdana"/>
          <w:sz w:val="20"/>
          <w:szCs w:val="20"/>
        </w:rPr>
      </w:pPr>
      <w:r>
        <w:rPr>
          <w:rFonts w:ascii="Verdana" w:hAnsi="Verdana"/>
          <w:sz w:val="20"/>
          <w:szCs w:val="20"/>
        </w:rPr>
      </w:r>
    </w:p>
    <w:p>
      <w:pPr>
        <w:pStyle w:val="normal3"/>
        <w:spacing w:lineRule="auto" w:line="240" w:before="0" w:after="0"/>
        <w:jc w:val="both"/>
        <w:rPr>
          <w:sz w:val="20"/>
          <w:szCs w:val="20"/>
        </w:rPr>
      </w:pPr>
      <w:r>
        <w:rPr>
          <w:rFonts w:ascii="Verdana" w:hAnsi="Verdana"/>
          <w:b/>
          <w:bCs/>
          <w:sz w:val="20"/>
          <w:szCs w:val="20"/>
        </w:rPr>
        <w:t>15. DECLARAÇÃO E JUSTIFICATIVA DA VIABILIDADE</w:t>
      </w:r>
    </w:p>
    <w:p>
      <w:pPr>
        <w:pStyle w:val="normal3"/>
        <w:spacing w:lineRule="auto" w:line="240" w:before="0" w:after="0"/>
        <w:jc w:val="both"/>
        <w:rPr>
          <w:sz w:val="20"/>
          <w:szCs w:val="20"/>
        </w:rPr>
      </w:pPr>
      <w:r>
        <w:rPr>
          <w:rFonts w:ascii="Verdana" w:hAnsi="Verdana"/>
          <w:b w:val="false"/>
          <w:bCs w:val="false"/>
          <w:sz w:val="20"/>
          <w:szCs w:val="20"/>
        </w:rPr>
        <w:t>15.1.</w:t>
      </w:r>
      <w:r>
        <w:rPr>
          <w:rFonts w:ascii="Verdana" w:hAnsi="Verdana"/>
          <w:b/>
          <w:bCs/>
          <w:sz w:val="20"/>
          <w:szCs w:val="20"/>
        </w:rPr>
        <w:t xml:space="preserve"> </w:t>
      </w:r>
      <w:r>
        <w:rPr>
          <w:rFonts w:ascii="Verdana" w:hAnsi="Verdana"/>
          <w:sz w:val="20"/>
          <w:szCs w:val="20"/>
        </w:rPr>
        <w:t>A equipe de planejamento deste ETP e de acordo com a autoridade deste requerente, declara viável esta contratação;</w:t>
      </w:r>
    </w:p>
    <w:p>
      <w:pPr>
        <w:pStyle w:val="Normal"/>
        <w:spacing w:lineRule="auto" w:line="240"/>
        <w:jc w:val="both"/>
        <w:rPr>
          <w:rFonts w:ascii="Verdana" w:hAnsi="Verdana" w:cs="Arial"/>
          <w:sz w:val="20"/>
          <w:szCs w:val="20"/>
        </w:rPr>
      </w:pPr>
      <w:r>
        <w:rPr>
          <w:rFonts w:cs="Arial" w:ascii="Verdana" w:hAnsi="Verdana"/>
          <w:sz w:val="20"/>
          <w:szCs w:val="20"/>
        </w:rPr>
      </w:r>
    </w:p>
    <w:p>
      <w:pPr>
        <w:pStyle w:val="Normal"/>
        <w:spacing w:lineRule="auto" w:line="240"/>
        <w:ind w:hanging="0" w:left="0" w:right="0"/>
        <w:jc w:val="both"/>
        <w:rPr>
          <w:sz w:val="20"/>
          <w:szCs w:val="20"/>
        </w:rPr>
      </w:pPr>
      <w:r>
        <w:rPr>
          <w:rFonts w:ascii="Verdana" w:hAnsi="Verdana"/>
          <w:b/>
          <w:bCs/>
          <w:sz w:val="20"/>
          <w:szCs w:val="20"/>
        </w:rPr>
        <w:t xml:space="preserve">16. ADEQUAÇÃO ORÇAMENTÁRIA </w:t>
      </w:r>
    </w:p>
    <w:p>
      <w:pPr>
        <w:pStyle w:val="Normal"/>
        <w:spacing w:lineRule="auto" w:line="240"/>
        <w:ind w:hanging="0" w:left="0" w:right="0"/>
        <w:jc w:val="both"/>
        <w:rPr>
          <w:sz w:val="20"/>
          <w:szCs w:val="20"/>
        </w:rPr>
      </w:pPr>
      <w:r>
        <w:rPr>
          <w:rFonts w:ascii="Verdana" w:hAnsi="Verdana"/>
          <w:sz w:val="20"/>
          <w:szCs w:val="20"/>
        </w:rPr>
        <w:t>16.1.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sz w:val="20"/>
          <w:szCs w:val="20"/>
        </w:rPr>
      </w:pPr>
      <w:r>
        <w:rPr>
          <w:rFonts w:ascii="Verdana" w:hAnsi="Verdana"/>
          <w:sz w:val="20"/>
          <w:szCs w:val="20"/>
        </w:rPr>
        <w:t>FICHA – FONTE: 00590-15</w:t>
      </w:r>
      <w:r>
        <w:rPr>
          <w:rFonts w:eastAsia="Times New Roman" w:cs="Times New Roman" w:ascii="Verdana" w:hAnsi="Verdana"/>
          <w:color w:val="auto"/>
          <w:kern w:val="0"/>
          <w:sz w:val="20"/>
          <w:szCs w:val="20"/>
          <w:lang w:val="pt-BR" w:eastAsia="pt-BR" w:bidi="ar-SA"/>
        </w:rPr>
        <w:t>0000250000, no valor de R$ 229.403,10 (duzentos e vinte e nove mil quatrocentos e três reais e dez centavos).</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sz w:val="20"/>
          <w:szCs w:val="20"/>
        </w:rPr>
      </w:pPr>
      <w:r>
        <w:rPr>
          <w:rFonts w:cs="Arial" w:ascii="Verdana" w:hAnsi="Verdana"/>
          <w:b/>
          <w:bCs/>
          <w:color w:val="000000"/>
          <w:sz w:val="20"/>
          <w:szCs w:val="20"/>
        </w:rPr>
        <w:t>16. DOS RESPONSÁVEIS PELA ELABORAÇÃO DO TERMO DE REFERÊNCIA</w:t>
      </w:r>
    </w:p>
    <w:p>
      <w:pPr>
        <w:pStyle w:val="Normal"/>
        <w:spacing w:lineRule="auto" w:line="240"/>
        <w:jc w:val="both"/>
        <w:rPr>
          <w:sz w:val="20"/>
          <w:szCs w:val="20"/>
        </w:rPr>
      </w:pPr>
      <w:r>
        <w:rPr>
          <w:rFonts w:cs="Arial" w:ascii="Verdana" w:hAnsi="Verdana"/>
          <w:b w:val="false"/>
          <w:bCs w:val="false"/>
          <w:color w:val="000000"/>
          <w:sz w:val="20"/>
          <w:szCs w:val="20"/>
        </w:rPr>
        <w:t>16.1. A compilação d</w:t>
      </w:r>
      <w:r>
        <w:rPr>
          <w:rFonts w:eastAsia="Times New Roman" w:cs="Arial" w:ascii="Verdana" w:hAnsi="Verdana"/>
          <w:b w:val="false"/>
          <w:bCs w:val="false"/>
          <w:color w:val="000000"/>
          <w:kern w:val="0"/>
          <w:sz w:val="20"/>
          <w:szCs w:val="20"/>
          <w:lang w:val="pt-BR" w:eastAsia="pt-BR" w:bidi="ar-SA"/>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kern w:val="0"/>
          <w:sz w:val="20"/>
          <w:szCs w:val="20"/>
          <w:lang w:val="pt-BR" w:eastAsia="pt-BR" w:bidi="ar-SA"/>
        </w:rPr>
        <w:t>na</w:t>
      </w:r>
      <w:r>
        <w:rPr>
          <w:rFonts w:cs="Arial" w:ascii="Verdana" w:hAnsi="Verdana"/>
          <w:b w:val="false"/>
          <w:bCs w:val="false"/>
          <w:color w:val="000000"/>
          <w:sz w:val="20"/>
          <w:szCs w:val="20"/>
        </w:rPr>
        <w:t xml:space="preserve"> elaboração deste Termo de Referência foram estruturadas através do ETP – Estudo Técnico Preliminar e DFD – Documento Formalizador de Demanda elaborado pela secretaria requisitante.</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right"/>
        <w:rPr>
          <w:sz w:val="20"/>
          <w:szCs w:val="20"/>
        </w:rPr>
      </w:pPr>
      <w:r>
        <w:rPr>
          <w:rFonts w:ascii="Verdana" w:hAnsi="Verdana"/>
          <w:sz w:val="20"/>
          <w:szCs w:val="20"/>
          <w:shd w:fill="auto" w:val="clear"/>
        </w:rPr>
        <w:t>São Gabriel da Palha, 13 de</w:t>
      </w:r>
      <w:r>
        <w:rPr>
          <w:rFonts w:eastAsia="Times New Roman" w:cs="Times New Roman" w:ascii="Verdana" w:hAnsi="Verdana"/>
          <w:color w:val="000000"/>
          <w:kern w:val="0"/>
          <w:sz w:val="20"/>
          <w:szCs w:val="20"/>
          <w:shd w:fill="auto" w:val="clear"/>
          <w:lang w:val="pt-BR" w:eastAsia="pt-BR" w:bidi="ar-SA"/>
        </w:rPr>
        <w:t xml:space="preserve"> janeiro </w:t>
      </w:r>
      <w:r>
        <w:rPr>
          <w:rFonts w:ascii="Verdana" w:hAnsi="Verdana"/>
          <w:sz w:val="20"/>
          <w:szCs w:val="20"/>
          <w:shd w:fill="auto" w:val="clear"/>
        </w:rPr>
        <w:t>de 2026</w:t>
      </w:r>
    </w:p>
    <w:p>
      <w:pPr>
        <w:pStyle w:val="Normal"/>
        <w:spacing w:lineRule="auto" w:line="240"/>
        <w:jc w:val="right"/>
        <w:rPr>
          <w:rFonts w:ascii="Verdana" w:hAnsi="Verdana" w:cs="Arial"/>
          <w:b/>
          <w:bCs/>
          <w:sz w:val="20"/>
          <w:szCs w:val="20"/>
        </w:rPr>
      </w:pPr>
      <w:r>
        <w:rPr>
          <w:rFonts w:cs="Arial" w:ascii="Verdana" w:hAnsi="Verdana"/>
          <w:b/>
          <w:bCs/>
          <w:sz w:val="20"/>
          <w:szCs w:val="20"/>
        </w:rPr>
      </w:r>
    </w:p>
    <w:p>
      <w:pPr>
        <w:pStyle w:val="Normal"/>
        <w:spacing w:lineRule="auto" w:line="240"/>
        <w:jc w:val="both"/>
        <w:rPr>
          <w:sz w:val="20"/>
          <w:szCs w:val="20"/>
        </w:rPr>
      </w:pPr>
      <w:bookmarkStart w:id="0" w:name="_GoBack"/>
      <w:bookmarkStart w:id="1" w:name="_GoBack1"/>
      <w:bookmarkEnd w:id="0"/>
      <w:bookmarkEnd w:id="1"/>
      <w:r>
        <w:rPr>
          <w:rFonts w:cs="Arial" w:ascii="Verdana" w:hAnsi="Verdana"/>
          <w:b/>
          <w:bCs/>
          <w:sz w:val="20"/>
          <w:szCs w:val="20"/>
        </w:rPr>
        <w:t>Elaborado por:</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517" w:right="905" w:gutter="0" w:header="227" w:top="851" w:footer="567" w:bottom="851"/>
          <w:pgNumType w:fmt="decimal"/>
          <w:formProt w:val="false"/>
          <w:textDirection w:val="lrTb"/>
          <w:docGrid w:type="default" w:linePitch="326" w:charSpace="0"/>
        </w:sectPr>
      </w:pP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jc w:val="both"/>
        <w:rPr>
          <w:sz w:val="20"/>
          <w:szCs w:val="20"/>
        </w:rPr>
      </w:pPr>
      <w:r>
        <w:rPr>
          <w:rFonts w:cs="Arial" w:ascii="Verdana" w:hAnsi="Verdana"/>
          <w:b w:val="false"/>
          <w:bCs w:val="false"/>
          <w:sz w:val="20"/>
          <w:szCs w:val="20"/>
        </w:rPr>
        <w:t>RUTH BARBARA DA SILWA NASCIMENTO</w:t>
      </w:r>
    </w:p>
    <w:p>
      <w:pPr>
        <w:pStyle w:val="Normal"/>
        <w:spacing w:lineRule="auto" w:line="240"/>
        <w:jc w:val="both"/>
        <w:rPr>
          <w:sz w:val="20"/>
          <w:szCs w:val="20"/>
        </w:rPr>
      </w:pPr>
      <w:r>
        <w:rPr>
          <w:rFonts w:cs="Arial" w:ascii="Verdana" w:hAnsi="Verdana"/>
          <w:b w:val="false"/>
          <w:bCs w:val="false"/>
          <w:sz w:val="20"/>
          <w:szCs w:val="20"/>
        </w:rPr>
        <w:t>Agente de Serviços Técnicos - Decreto n° 4.816/2025.</w:t>
      </w:r>
    </w:p>
    <w:p>
      <w:pPr>
        <w:pStyle w:val="Normal"/>
        <w:spacing w:lineRule="auto" w:line="240"/>
        <w:jc w:val="both"/>
        <w:rPr>
          <w:sz w:val="20"/>
          <w:szCs w:val="20"/>
        </w:rPr>
      </w:pPr>
      <w:r>
        <w:rPr>
          <w:rFonts w:cs="Arial" w:ascii="Verdana" w:hAnsi="Verdana"/>
          <w:b w:val="false"/>
          <w:bCs w:val="false"/>
          <w:sz w:val="20"/>
          <w:szCs w:val="20"/>
        </w:rPr>
        <w:t>Mat. nº 002983</w:t>
      </w:r>
      <w:bookmarkStart w:id="2" w:name="art116"/>
      <w:bookmarkStart w:id="3" w:name="art122%252525252525252525252525252525252"/>
      <w:bookmarkEnd w:id="2"/>
      <w:bookmarkEnd w:id="3"/>
    </w:p>
    <w:p>
      <w:pPr>
        <w:sectPr>
          <w:type w:val="continuous"/>
          <w:pgSz w:w="11906" w:h="16838"/>
          <w:pgMar w:left="1517" w:right="905" w:gutter="0" w:header="227" w:top="851" w:footer="567" w:bottom="851"/>
          <w:formProt w:val="false"/>
          <w:textDirection w:val="lrTb"/>
          <w:docGrid w:type="default" w:linePitch="326" w:charSpace="0"/>
        </w:sectPr>
      </w:pPr>
    </w:p>
    <w:p>
      <w:pPr>
        <w:pStyle w:val="Normal"/>
        <w:spacing w:lineRule="auto" w:line="240"/>
        <w:ind w:hanging="0" w:left="-79" w:right="0"/>
        <w:jc w:val="both"/>
        <w:rPr>
          <w:rFonts w:ascii="Verdana" w:hAnsi="Verdana"/>
          <w:b/>
          <w:bCs/>
          <w:sz w:val="20"/>
          <w:szCs w:val="20"/>
          <w:lang w:eastAsia="en-US"/>
        </w:rPr>
      </w:pPr>
      <w:r>
        <w:rPr>
          <w:rFonts w:ascii="Verdana" w:hAnsi="Verdana"/>
          <w:b/>
          <w:bCs/>
          <w:sz w:val="20"/>
          <w:szCs w:val="20"/>
          <w:lang w:eastAsia="en-US"/>
        </w:rPr>
      </w:r>
      <w:bookmarkStart w:id="4" w:name="art122%252525252525252525252525252525251"/>
      <w:bookmarkStart w:id="5" w:name="art122%252525252525252525252525252525251"/>
      <w:bookmarkEnd w:id="5"/>
    </w:p>
    <w:sectPr>
      <w:type w:val="continuous"/>
      <w:pgSz w:w="11906" w:h="16838"/>
      <w:pgMar w:left="1517" w:right="905" w:gutter="0" w:header="227" w:top="851" w:footer="567" w:bottom="851"/>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0">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1">
    <w:name w:val="normal1"/>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2">
    <w:name w:val="normal2"/>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paragraph" w:styleId="normal3">
    <w:name w:val="normal3"/>
    <w:qFormat/>
    <w:pPr>
      <w:widowControl/>
      <w:suppressAutoHyphens w:val="true"/>
      <w:bidi w:val="0"/>
      <w:spacing w:before="0" w:after="0"/>
      <w:jc w:val="left"/>
    </w:pPr>
    <w:rPr>
      <w:rFonts w:ascii="Calibri" w:hAnsi="Calibri" w:eastAsia="Calibri" w:cs="Tahoma"/>
      <w:color w:val="auto"/>
      <w:kern w:val="0"/>
      <w:sz w:val="22"/>
      <w:szCs w:val="22"/>
      <w:lang w:val="pt-BR" w:eastAsia="en-US" w:bidi="ar-SA"/>
    </w:rPr>
  </w:style>
  <w:style w:type="numbering" w:styleId="Semlista">
    <w:name w:val="Sem lista"/>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financeirosemecsgp@gmail.com"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839</TotalTime>
  <Application>LibreOffice/24.2.7.2$Windows_X86_64 LibreOffice_project/ee3885777aa7032db5a9b65deec9457448a91162</Application>
  <AppVersion>15.0000</AppVersion>
  <Pages>9</Pages>
  <Words>4495</Words>
  <Characters>26072</Characters>
  <CharactersWithSpaces>30375</CharactersWithSpaces>
  <Paragraphs>237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2024-11-06T17:12:32Z</cp:lastPrinted>
  <dcterms:modified xsi:type="dcterms:W3CDTF">2026-02-10T15:53:11Z</dcterms:modified>
  <cp:revision>152</cp:revision>
  <dc:subject/>
  <dc:title/>
</cp:coreProperties>
</file>

<file path=docProps/custom.xml><?xml version="1.0" encoding="utf-8"?>
<Properties xmlns="http://schemas.openxmlformats.org/officeDocument/2006/custom-properties" xmlns:vt="http://schemas.openxmlformats.org/officeDocument/2006/docPropsVTypes"/>
</file>